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DD1F" w14:textId="77777777" w:rsidR="00EC5C6A" w:rsidRPr="00523932" w:rsidRDefault="00EC5C6A" w:rsidP="00EC5C6A">
      <w:pPr>
        <w:spacing w:after="0" w:line="240" w:lineRule="auto"/>
        <w:rPr>
          <w:rFonts w:ascii="Verdana" w:eastAsia="Calibri" w:hAnsi="Verdana" w:cs="Arial"/>
          <w:b/>
          <w:sz w:val="20"/>
          <w:szCs w:val="20"/>
          <w:lang w:val="es-MX" w:eastAsia="es-ES_tradnl"/>
        </w:rPr>
      </w:pPr>
      <w:bookmarkStart w:id="0" w:name="_Hlk143780582"/>
    </w:p>
    <w:p w14:paraId="67A0BB49" w14:textId="77777777" w:rsidR="00EC5C6A" w:rsidRPr="00523932" w:rsidRDefault="00EC5C6A" w:rsidP="00EC5C6A">
      <w:pPr>
        <w:spacing w:after="0" w:line="240" w:lineRule="auto"/>
        <w:jc w:val="both"/>
        <w:rPr>
          <w:rFonts w:ascii="Verdana" w:eastAsia="Calibri" w:hAnsi="Verdana" w:cs="Arial"/>
          <w:b/>
          <w:lang w:val="es-MX" w:eastAsia="es-ES_tradnl"/>
        </w:rPr>
      </w:pPr>
      <w:r w:rsidRPr="00523932">
        <w:rPr>
          <w:rFonts w:ascii="Verdana" w:eastAsia="Calibri" w:hAnsi="Verdana" w:cs="Arial"/>
          <w:b/>
          <w:lang w:val="es-MX" w:eastAsia="es-ES_tradnl"/>
        </w:rPr>
        <w:t>INHABILIDADES – Definición – Finalidad – Limitación capacidad contractual</w:t>
      </w:r>
    </w:p>
    <w:p w14:paraId="1C3DD53C" w14:textId="77777777" w:rsidR="00EC5C6A" w:rsidRPr="00523932" w:rsidRDefault="00EC5C6A" w:rsidP="00EC5C6A">
      <w:pPr>
        <w:spacing w:after="0" w:line="240" w:lineRule="auto"/>
        <w:rPr>
          <w:rFonts w:ascii="Verdana" w:eastAsia="Calibri" w:hAnsi="Verdana" w:cs="Arial"/>
          <w:bCs/>
          <w:sz w:val="20"/>
          <w:szCs w:val="20"/>
          <w:lang w:val="es-MX" w:eastAsia="es-ES_tradnl"/>
        </w:rPr>
      </w:pPr>
    </w:p>
    <w:p w14:paraId="0B2A1FFD" w14:textId="77777777" w:rsidR="00EC5C6A" w:rsidRPr="00523932" w:rsidRDefault="00EC5C6A" w:rsidP="00EC5C6A">
      <w:pPr>
        <w:spacing w:after="0" w:line="240" w:lineRule="auto"/>
        <w:jc w:val="both"/>
        <w:rPr>
          <w:rFonts w:ascii="Verdana" w:eastAsia="Geomanist Light" w:hAnsi="Verdana" w:cs="Arial"/>
          <w:color w:val="000000" w:themeColor="text1"/>
          <w:sz w:val="20"/>
          <w:szCs w:val="20"/>
          <w:lang w:val="es-MX"/>
        </w:rPr>
      </w:pPr>
      <w:r w:rsidRPr="00523932">
        <w:rPr>
          <w:rFonts w:ascii="Verdana" w:eastAsia="Geomanist Light" w:hAnsi="Verdana"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6A19E16F" w14:textId="77777777" w:rsidR="00EC5C6A" w:rsidRPr="00523932" w:rsidRDefault="00EC5C6A" w:rsidP="00EC5C6A">
      <w:pPr>
        <w:spacing w:after="0" w:line="240" w:lineRule="auto"/>
        <w:jc w:val="both"/>
        <w:rPr>
          <w:rFonts w:ascii="Verdana" w:eastAsia="Geomanist Light" w:hAnsi="Verdana" w:cs="Arial"/>
          <w:color w:val="000000" w:themeColor="text1"/>
          <w:sz w:val="20"/>
          <w:szCs w:val="20"/>
          <w:lang w:val="es-MX"/>
        </w:rPr>
      </w:pPr>
    </w:p>
    <w:p w14:paraId="7DEA45D3" w14:textId="77777777" w:rsidR="00EC5C6A" w:rsidRPr="00523932" w:rsidRDefault="00EC5C6A" w:rsidP="00EC5C6A">
      <w:pPr>
        <w:spacing w:after="0" w:line="240" w:lineRule="auto"/>
        <w:jc w:val="both"/>
        <w:rPr>
          <w:rFonts w:ascii="Verdana" w:eastAsia="Calibri" w:hAnsi="Verdana" w:cs="Arial"/>
          <w:b/>
          <w:lang w:val="es-MX" w:eastAsia="es-ES_tradnl"/>
        </w:rPr>
      </w:pPr>
      <w:r w:rsidRPr="00523932">
        <w:rPr>
          <w:rFonts w:ascii="Verdana" w:eastAsia="Calibri" w:hAnsi="Verdana" w:cs="Arial"/>
          <w:b/>
          <w:lang w:val="es-MX" w:eastAsia="es-ES_tradnl"/>
        </w:rPr>
        <w:t>CONTRATACIÓN ESTATAL – Capacidad – Validez contratos – Régimen de contratación – Inscripción – Limitación de la capacidad</w:t>
      </w:r>
    </w:p>
    <w:p w14:paraId="1F859C13" w14:textId="77777777" w:rsidR="00EC5C6A" w:rsidRPr="00523932" w:rsidRDefault="00EC5C6A" w:rsidP="00EC5C6A">
      <w:pPr>
        <w:spacing w:after="0" w:line="240" w:lineRule="auto"/>
        <w:jc w:val="both"/>
        <w:rPr>
          <w:rFonts w:ascii="Verdana" w:eastAsia="Calibri" w:hAnsi="Verdana" w:cs="Arial"/>
          <w:bCs/>
          <w:sz w:val="20"/>
          <w:szCs w:val="20"/>
          <w:lang w:val="es-MX" w:eastAsia="es-ES_tradnl"/>
        </w:rPr>
      </w:pPr>
    </w:p>
    <w:p w14:paraId="63C15872" w14:textId="77777777" w:rsidR="00EC5C6A" w:rsidRPr="00523932" w:rsidRDefault="00EC5C6A" w:rsidP="00EC5C6A">
      <w:pPr>
        <w:spacing w:after="0" w:line="240" w:lineRule="auto"/>
        <w:jc w:val="both"/>
        <w:rPr>
          <w:rFonts w:ascii="Verdana" w:eastAsia="Calibri" w:hAnsi="Verdana" w:cs="Arial"/>
          <w:bCs/>
          <w:sz w:val="20"/>
          <w:szCs w:val="20"/>
          <w:lang w:val="es-MX" w:eastAsia="es-ES_tradnl"/>
        </w:rPr>
      </w:pPr>
      <w:r w:rsidRPr="00523932">
        <w:rPr>
          <w:rFonts w:ascii="Verdana" w:eastAsia="Calibri" w:hAnsi="Verdana" w:cs="Arial"/>
          <w:bCs/>
          <w:sz w:val="20"/>
          <w:szCs w:val="20"/>
          <w:lang w:val="es-MX" w:eastAsia="es-ES_tradnl"/>
        </w:rPr>
        <w:t>[…]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0B6AFB90" w14:textId="77777777" w:rsidR="00EC5C6A" w:rsidRPr="00523932" w:rsidRDefault="00EC5C6A" w:rsidP="00EC5C6A">
      <w:pPr>
        <w:spacing w:after="0" w:line="240" w:lineRule="auto"/>
        <w:jc w:val="both"/>
        <w:rPr>
          <w:rFonts w:ascii="Verdana" w:eastAsia="Calibri" w:hAnsi="Verdana" w:cs="Arial"/>
          <w:bCs/>
          <w:sz w:val="20"/>
          <w:szCs w:val="20"/>
          <w:lang w:val="es-MX" w:eastAsia="es-ES_tradnl"/>
        </w:rPr>
      </w:pPr>
    </w:p>
    <w:p w14:paraId="2241773D" w14:textId="77777777" w:rsidR="00EC5C6A" w:rsidRPr="00523932" w:rsidRDefault="00EC5C6A" w:rsidP="00EC5C6A">
      <w:pPr>
        <w:spacing w:after="0" w:line="240" w:lineRule="auto"/>
        <w:jc w:val="both"/>
        <w:rPr>
          <w:rFonts w:ascii="Verdana" w:eastAsia="Calibri" w:hAnsi="Verdana" w:cs="Arial"/>
          <w:bCs/>
          <w:sz w:val="20"/>
          <w:szCs w:val="20"/>
          <w:lang w:val="es-MX" w:eastAsia="es-ES_tradnl"/>
        </w:rPr>
      </w:pPr>
      <w:r w:rsidRPr="00523932">
        <w:rPr>
          <w:rFonts w:ascii="Verdana" w:eastAsia="Calibri" w:hAnsi="Verdana" w:cs="Arial"/>
          <w:bCs/>
          <w:sz w:val="20"/>
          <w:szCs w:val="20"/>
          <w:lang w:val="es-MX" w:eastAsia="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523932">
        <w:rPr>
          <w:rFonts w:ascii="Verdana" w:eastAsia="Calibri" w:hAnsi="Verdana" w:cs="Arial"/>
          <w:bCs/>
          <w:sz w:val="20"/>
          <w:szCs w:val="20"/>
          <w:lang w:val="es-MX" w:eastAsia="es-ES_tradnl"/>
        </w:rPr>
        <w:t>ii</w:t>
      </w:r>
      <w:proofErr w:type="spellEnd"/>
      <w:r w:rsidRPr="00523932">
        <w:rPr>
          <w:rFonts w:ascii="Verdana" w:eastAsia="Calibri" w:hAnsi="Verdana" w:cs="Arial"/>
          <w:bCs/>
          <w:sz w:val="20"/>
          <w:szCs w:val="20"/>
          <w:lang w:val="es-MX" w:eastAsia="es-ES_tradnl"/>
        </w:rPr>
        <w:t xml:space="preserve">) de vínculos personales relativos al parentesco o al estado civil o </w:t>
      </w:r>
      <w:proofErr w:type="spellStart"/>
      <w:r w:rsidRPr="00523932">
        <w:rPr>
          <w:rFonts w:ascii="Verdana" w:eastAsia="Calibri" w:hAnsi="Verdana" w:cs="Arial"/>
          <w:bCs/>
          <w:sz w:val="20"/>
          <w:szCs w:val="20"/>
          <w:lang w:val="es-MX" w:eastAsia="es-ES_tradnl"/>
        </w:rPr>
        <w:t>iii</w:t>
      </w:r>
      <w:proofErr w:type="spellEnd"/>
      <w:r w:rsidRPr="00523932">
        <w:rPr>
          <w:rFonts w:ascii="Verdana" w:eastAsia="Calibri" w:hAnsi="Verdana" w:cs="Arial"/>
          <w:bCs/>
          <w:sz w:val="20"/>
          <w:szCs w:val="20"/>
          <w:lang w:val="es-MX" w:eastAsia="es-ES_tradnl"/>
        </w:rPr>
        <w:t xml:space="preserve">)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w:t>
      </w:r>
      <w:r w:rsidRPr="00523932">
        <w:rPr>
          <w:rFonts w:ascii="Verdana" w:eastAsia="Calibri" w:hAnsi="Verdana" w:cs="Arial"/>
          <w:bCs/>
          <w:sz w:val="20"/>
          <w:szCs w:val="20"/>
          <w:lang w:val="es-MX" w:eastAsia="es-ES_tradnl"/>
        </w:rPr>
        <w:lastRenderedPageBreak/>
        <w:t>o participar en procedimientos de selección de las entidades estatales, por lo que de cualquiera de ellas se derivan los mismos efectos jurídicos.</w:t>
      </w:r>
    </w:p>
    <w:p w14:paraId="44883447" w14:textId="77777777" w:rsidR="00EC5C6A" w:rsidRPr="00523932" w:rsidRDefault="00EC5C6A" w:rsidP="00EC5C6A">
      <w:pPr>
        <w:spacing w:after="0" w:line="240" w:lineRule="auto"/>
        <w:jc w:val="both"/>
        <w:rPr>
          <w:rFonts w:ascii="Verdana" w:eastAsia="Geomanist Light" w:hAnsi="Verdana" w:cs="Arial"/>
          <w:color w:val="000000" w:themeColor="text1"/>
          <w:sz w:val="20"/>
          <w:szCs w:val="20"/>
          <w:lang w:val="es-MX"/>
        </w:rPr>
      </w:pPr>
    </w:p>
    <w:p w14:paraId="384A6ED2" w14:textId="77777777" w:rsidR="00EC5C6A" w:rsidRPr="00523932" w:rsidRDefault="00EC5C6A" w:rsidP="00EC5C6A">
      <w:pPr>
        <w:spacing w:after="0" w:line="240" w:lineRule="auto"/>
        <w:jc w:val="both"/>
        <w:rPr>
          <w:rFonts w:ascii="Verdana" w:eastAsia="Calibri" w:hAnsi="Verdana" w:cs="Arial"/>
          <w:b/>
          <w:lang w:val="es-MX" w:eastAsia="es-ES_tradnl"/>
        </w:rPr>
      </w:pPr>
      <w:r w:rsidRPr="00523932">
        <w:rPr>
          <w:rFonts w:ascii="Verdana" w:eastAsia="Calibri" w:hAnsi="Verdana" w:cs="Arial"/>
          <w:b/>
          <w:lang w:val="es-MX" w:eastAsia="es-ES_tradnl"/>
        </w:rPr>
        <w:t>INHABILIDADES – Taxatividad – Principio de legalidad – Interpretación restrictiva</w:t>
      </w:r>
    </w:p>
    <w:p w14:paraId="1A8A3EC4" w14:textId="77777777" w:rsidR="00EC5C6A" w:rsidRPr="00523932" w:rsidRDefault="00EC5C6A" w:rsidP="00EC5C6A">
      <w:pPr>
        <w:spacing w:after="0" w:line="240" w:lineRule="auto"/>
        <w:rPr>
          <w:rFonts w:ascii="Verdana" w:eastAsia="Calibri" w:hAnsi="Verdana" w:cs="Arial"/>
          <w:bCs/>
          <w:sz w:val="20"/>
          <w:szCs w:val="20"/>
          <w:lang w:val="es-MX" w:eastAsia="es-ES_tradnl"/>
        </w:rPr>
      </w:pPr>
    </w:p>
    <w:p w14:paraId="44969BD3" w14:textId="77777777" w:rsidR="00EC5C6A" w:rsidRDefault="00EC5C6A" w:rsidP="00EC5C6A">
      <w:pPr>
        <w:spacing w:after="0" w:line="240" w:lineRule="auto"/>
        <w:jc w:val="both"/>
        <w:rPr>
          <w:rFonts w:ascii="Verdana" w:eastAsia="Calibri" w:hAnsi="Verdana" w:cs="Arial"/>
          <w:bCs/>
          <w:sz w:val="20"/>
          <w:szCs w:val="20"/>
          <w:lang w:val="es-MX" w:eastAsia="es-ES_tradnl"/>
        </w:rPr>
      </w:pPr>
      <w:r w:rsidRPr="00523932">
        <w:rPr>
          <w:rFonts w:ascii="Verdana" w:eastAsia="Calibri" w:hAnsi="Verdana" w:cs="Arial"/>
          <w:bCs/>
          <w:sz w:val="20"/>
          <w:szCs w:val="20"/>
          <w:lang w:val="es-MX" w:eastAsia="es-ES_tradnl"/>
        </w:rPr>
        <w:t>[…]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que “[…] las causales de inhabilidad e incompatibilidad deben estar expresa y taxativamente establecidas en la Constitución o en la ley y son de aplicación e interpretación restrictivas […]”. En este sentido, como se observa, existe consenso, incluso como lo ha expresado esta Agencia en ocasiones anteriores, que la creación de inhabilidades o incompatibilidades está reservada al constituyente o al legislador.</w:t>
      </w:r>
    </w:p>
    <w:p w14:paraId="60E4D773" w14:textId="77777777" w:rsidR="00EC5C6A" w:rsidRDefault="00EC5C6A" w:rsidP="00EC5C6A">
      <w:pPr>
        <w:spacing w:after="0" w:line="240" w:lineRule="auto"/>
        <w:jc w:val="both"/>
        <w:rPr>
          <w:rFonts w:ascii="Verdana" w:eastAsia="Calibri" w:hAnsi="Verdana" w:cs="Arial"/>
          <w:bCs/>
          <w:sz w:val="20"/>
          <w:szCs w:val="20"/>
          <w:lang w:val="es-MX" w:eastAsia="es-ES_tradnl"/>
        </w:rPr>
      </w:pPr>
    </w:p>
    <w:p w14:paraId="462A42E6" w14:textId="77777777" w:rsidR="00EC5C6A" w:rsidRPr="00523932" w:rsidRDefault="00EC5C6A" w:rsidP="00EC5C6A">
      <w:pPr>
        <w:spacing w:after="0" w:line="240" w:lineRule="auto"/>
        <w:jc w:val="both"/>
        <w:rPr>
          <w:rFonts w:ascii="Verdana" w:eastAsia="Calibri" w:hAnsi="Verdana" w:cs="Arial"/>
          <w:b/>
          <w:lang w:val="es-MX" w:eastAsia="es-ES_tradnl"/>
        </w:rPr>
      </w:pPr>
      <w:r w:rsidRPr="00523932">
        <w:rPr>
          <w:rFonts w:ascii="Verdana" w:eastAsia="Calibri" w:hAnsi="Verdana" w:cs="Arial"/>
          <w:b/>
          <w:lang w:val="es-MX" w:eastAsia="es-ES_tradnl"/>
        </w:rPr>
        <w:t xml:space="preserve">INHABILIDADES </w:t>
      </w:r>
      <w:r>
        <w:rPr>
          <w:rFonts w:ascii="Verdana" w:eastAsia="Calibri" w:hAnsi="Verdana" w:cs="Arial"/>
          <w:b/>
          <w:lang w:val="es-MX" w:eastAsia="es-ES_tradnl"/>
        </w:rPr>
        <w:t xml:space="preserve">SOBREVIENTES </w:t>
      </w:r>
      <w:r w:rsidRPr="00523932">
        <w:rPr>
          <w:rFonts w:ascii="Verdana" w:eastAsia="Calibri" w:hAnsi="Verdana" w:cs="Arial"/>
          <w:b/>
          <w:lang w:val="es-MX" w:eastAsia="es-ES_tradnl"/>
        </w:rPr>
        <w:t xml:space="preserve">– </w:t>
      </w:r>
      <w:r>
        <w:rPr>
          <w:rFonts w:ascii="Verdana" w:eastAsia="Calibri" w:hAnsi="Verdana" w:cs="Arial"/>
          <w:b/>
          <w:lang w:val="es-MX" w:eastAsia="es-ES_tradnl"/>
        </w:rPr>
        <w:t xml:space="preserve">Efectos – Oferentes – Adjudicatarios – Cesión de contrato – Imposibilidad </w:t>
      </w:r>
    </w:p>
    <w:p w14:paraId="5E554F83" w14:textId="77777777" w:rsidR="00EC5C6A" w:rsidRPr="00523932" w:rsidRDefault="00EC5C6A" w:rsidP="00EC5C6A">
      <w:pPr>
        <w:spacing w:after="0" w:line="240" w:lineRule="auto"/>
        <w:rPr>
          <w:rFonts w:ascii="Verdana" w:eastAsia="Calibri" w:hAnsi="Verdana" w:cs="Arial"/>
          <w:bCs/>
          <w:sz w:val="20"/>
          <w:szCs w:val="20"/>
          <w:lang w:val="es-MX" w:eastAsia="es-ES_tradnl"/>
        </w:rPr>
      </w:pPr>
    </w:p>
    <w:p w14:paraId="09D84C41" w14:textId="77777777" w:rsidR="00EC5C6A" w:rsidRDefault="00EC5C6A" w:rsidP="00EC5C6A">
      <w:pPr>
        <w:spacing w:after="0" w:line="240" w:lineRule="auto"/>
        <w:jc w:val="both"/>
        <w:rPr>
          <w:rFonts w:ascii="Verdana" w:eastAsia="Calibri" w:hAnsi="Verdana" w:cs="Arial"/>
          <w:bCs/>
          <w:sz w:val="20"/>
          <w:szCs w:val="20"/>
          <w:lang w:eastAsia="es-ES_tradnl"/>
        </w:rPr>
      </w:pPr>
      <w:r>
        <w:rPr>
          <w:rFonts w:ascii="Verdana" w:eastAsia="Calibri" w:hAnsi="Verdana" w:cs="Arial"/>
          <w:bCs/>
          <w:sz w:val="20"/>
          <w:szCs w:val="20"/>
          <w:lang w:eastAsia="es-ES_tradnl"/>
        </w:rPr>
        <w:t>S</w:t>
      </w:r>
      <w:r w:rsidRPr="00523932">
        <w:rPr>
          <w:rFonts w:ascii="Verdana" w:eastAsia="Calibri" w:hAnsi="Verdana" w:cs="Arial"/>
          <w:bCs/>
          <w:sz w:val="20"/>
          <w:szCs w:val="20"/>
          <w:lang w:eastAsia="es-ES_tradnl"/>
        </w:rPr>
        <w:t xml:space="preserve">i las inhabilidades o incompatibilidades tienen carácter sobreviniente, es necesario tener en cuenta que el ordenamiento jurídico trata de manera distinta al oferente, al adjudicatario y al contratista. </w:t>
      </w:r>
      <w:r w:rsidRPr="00523932">
        <w:rPr>
          <w:rFonts w:ascii="Verdana" w:eastAsia="Calibri" w:hAnsi="Verdana" w:cs="Arial"/>
          <w:bCs/>
          <w:i/>
          <w:iCs/>
          <w:sz w:val="20"/>
          <w:szCs w:val="20"/>
          <w:lang w:eastAsia="es-ES_tradnl"/>
        </w:rPr>
        <w:t>Respecto al oferente</w:t>
      </w:r>
      <w:r w:rsidRPr="00523932">
        <w:rPr>
          <w:rFonts w:ascii="Verdana" w:eastAsia="Calibri" w:hAnsi="Verdana" w:cs="Arial"/>
          <w:bCs/>
          <w:sz w:val="20"/>
          <w:szCs w:val="20"/>
          <w:lang w:eastAsia="es-ES_tradnl"/>
        </w:rPr>
        <w:t xml:space="preserve">, el inciso segundo del artículo 9 de la Ley 80 de 1993 dispone que “Cuando la inhabilidad o incompatibilidad sobrevenga en un proponente dentro de un proceso de selección, se entenderá que renuncia a la participación en el proceso de selección y a los derechos surgidos del mismo”. </w:t>
      </w:r>
      <w:r w:rsidRPr="00523932">
        <w:rPr>
          <w:rFonts w:ascii="Verdana" w:eastAsia="Calibri" w:hAnsi="Verdana" w:cs="Arial"/>
          <w:bCs/>
          <w:i/>
          <w:iCs/>
          <w:sz w:val="20"/>
          <w:szCs w:val="20"/>
          <w:lang w:eastAsia="es-ES_tradnl"/>
        </w:rPr>
        <w:t>Respecto al adjudicatario</w:t>
      </w:r>
      <w:r w:rsidRPr="00523932">
        <w:rPr>
          <w:rFonts w:ascii="Verdana" w:eastAsia="Calibri" w:hAnsi="Verdana" w:cs="Arial"/>
          <w:bCs/>
          <w:sz w:val="20"/>
          <w:szCs w:val="20"/>
          <w:lang w:eastAsia="es-ES_tradnl"/>
        </w:rPr>
        <w:t>, el inciso 3 del artículo 9 de la Ley 1150 de 2007 prescribe lo siguiente: “[…] si dentro del plazo comprendido entre la adjudicación del contrato y la suscripción del mismo, sobreviene una inhabilidad o incompatibilidad […] este podrá ser revocado […]”.</w:t>
      </w:r>
    </w:p>
    <w:p w14:paraId="49F21029" w14:textId="77777777" w:rsidR="00EC5C6A" w:rsidRPr="00523932" w:rsidRDefault="00EC5C6A" w:rsidP="00EC5C6A">
      <w:pPr>
        <w:spacing w:after="0" w:line="240" w:lineRule="auto"/>
        <w:jc w:val="both"/>
        <w:rPr>
          <w:rFonts w:ascii="Verdana" w:eastAsia="Calibri" w:hAnsi="Verdana" w:cs="Arial"/>
          <w:bCs/>
          <w:sz w:val="20"/>
          <w:szCs w:val="20"/>
          <w:lang w:eastAsia="es-ES_tradnl"/>
        </w:rPr>
      </w:pPr>
    </w:p>
    <w:p w14:paraId="6662D7B9" w14:textId="77777777" w:rsidR="00EC5C6A" w:rsidRDefault="00EC5C6A" w:rsidP="00EC5C6A">
      <w:pPr>
        <w:spacing w:after="0" w:line="240" w:lineRule="auto"/>
        <w:jc w:val="both"/>
        <w:rPr>
          <w:rFonts w:ascii="Verdana" w:eastAsia="Calibri" w:hAnsi="Verdana" w:cs="Arial"/>
          <w:bCs/>
          <w:sz w:val="20"/>
          <w:szCs w:val="20"/>
          <w:lang w:eastAsia="es-ES_tradnl"/>
        </w:rPr>
      </w:pPr>
      <w:r w:rsidRPr="00523932">
        <w:rPr>
          <w:rFonts w:ascii="Verdana" w:eastAsia="Calibri" w:hAnsi="Verdana" w:cs="Arial"/>
          <w:bCs/>
          <w:sz w:val="20"/>
          <w:szCs w:val="20"/>
          <w:lang w:eastAsia="es-ES_tradnl"/>
        </w:rPr>
        <w:t xml:space="preserve">Sólo con el cumplimiento de los requisitos de los artículos 39 y 41 del Estatuto General de Contratación Pública existe el contrato estatal, de manera que tienen carácter solemne y, por tanto, requieren formalidad escrita. Por ello, </w:t>
      </w:r>
      <w:r w:rsidRPr="00523932">
        <w:rPr>
          <w:rFonts w:ascii="Verdana" w:eastAsia="Calibri" w:hAnsi="Verdana" w:cs="Arial"/>
          <w:bCs/>
          <w:i/>
          <w:iCs/>
          <w:sz w:val="20"/>
          <w:szCs w:val="20"/>
          <w:lang w:eastAsia="es-ES_tradnl"/>
        </w:rPr>
        <w:t>respecto al contratista</w:t>
      </w:r>
      <w:r w:rsidRPr="00523932">
        <w:rPr>
          <w:rFonts w:ascii="Verdana" w:eastAsia="Calibri" w:hAnsi="Verdana" w:cs="Arial"/>
          <w:bCs/>
          <w:sz w:val="20"/>
          <w:szCs w:val="20"/>
          <w:lang w:eastAsia="es-ES_tradnl"/>
        </w:rPr>
        <w:t xml:space="preserve">, el inciso primero del artículo 9 de la Ley 80 de 1993 dispone que “Si llegare a sobrevenir inhabilidad o incompatibilidad en el contratista, este cederá el contrato previa autorización escrita de la entidad contratante o, si ello no fuere posible, renunciará a su ejecución”. El inciso tercero </w:t>
      </w:r>
      <w:r w:rsidRPr="00523932">
        <w:rPr>
          <w:rFonts w:ascii="Verdana" w:eastAsia="Calibri" w:hAnsi="Verdana" w:cs="Arial"/>
          <w:bCs/>
          <w:i/>
          <w:iCs/>
          <w:sz w:val="20"/>
          <w:szCs w:val="20"/>
          <w:lang w:eastAsia="es-ES_tradnl"/>
        </w:rPr>
        <w:t>ibidem</w:t>
      </w:r>
      <w:r w:rsidRPr="00523932">
        <w:rPr>
          <w:rFonts w:ascii="Verdana" w:eastAsia="Calibri" w:hAnsi="Verdana" w:cs="Arial"/>
          <w:bCs/>
          <w:sz w:val="20"/>
          <w:szCs w:val="20"/>
          <w:lang w:eastAsia="es-ES_tradnl"/>
        </w:rPr>
        <w:t xml:space="preserve"> agrega lo siguiente: “Si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  </w:t>
      </w:r>
    </w:p>
    <w:p w14:paraId="78FAC472" w14:textId="77777777" w:rsidR="00EC5C6A" w:rsidRPr="00523932" w:rsidRDefault="00EC5C6A" w:rsidP="00EC5C6A">
      <w:pPr>
        <w:spacing w:after="0" w:line="240" w:lineRule="auto"/>
        <w:jc w:val="both"/>
        <w:rPr>
          <w:rFonts w:ascii="Verdana" w:eastAsia="Calibri" w:hAnsi="Verdana" w:cs="Arial"/>
          <w:bCs/>
          <w:sz w:val="20"/>
          <w:szCs w:val="20"/>
          <w:lang w:eastAsia="es-ES_tradnl"/>
        </w:rPr>
      </w:pPr>
      <w:r w:rsidRPr="00523932">
        <w:rPr>
          <w:rFonts w:ascii="Verdana" w:eastAsia="Calibri" w:hAnsi="Verdana" w:cs="Arial"/>
          <w:bCs/>
          <w:sz w:val="20"/>
          <w:szCs w:val="20"/>
          <w:lang w:eastAsia="es-ES_tradnl"/>
        </w:rPr>
        <w:t xml:space="preserve"> </w:t>
      </w:r>
    </w:p>
    <w:p w14:paraId="474F4D5D" w14:textId="77777777" w:rsidR="00EC5C6A" w:rsidRPr="00523932" w:rsidRDefault="00EC5C6A" w:rsidP="00EC5C6A">
      <w:pPr>
        <w:spacing w:after="0" w:line="240" w:lineRule="auto"/>
        <w:jc w:val="both"/>
        <w:rPr>
          <w:rFonts w:ascii="Verdana" w:eastAsia="Calibri" w:hAnsi="Verdana" w:cs="Arial"/>
          <w:bCs/>
          <w:sz w:val="20"/>
          <w:szCs w:val="20"/>
          <w:lang w:val="es-MX" w:eastAsia="es-ES_tradnl"/>
        </w:rPr>
      </w:pPr>
      <w:r w:rsidRPr="00523932">
        <w:rPr>
          <w:rFonts w:ascii="Verdana" w:eastAsia="Calibri" w:hAnsi="Verdana" w:cs="Arial"/>
          <w:bCs/>
          <w:sz w:val="20"/>
          <w:szCs w:val="20"/>
          <w:lang w:eastAsia="es-ES_tradnl"/>
        </w:rPr>
        <w:t xml:space="preserve">En este contexto, durante la fase de selección, los </w:t>
      </w:r>
      <w:r w:rsidRPr="00523932">
        <w:rPr>
          <w:rFonts w:ascii="Verdana" w:eastAsia="Calibri" w:hAnsi="Verdana" w:cs="Arial"/>
          <w:bCs/>
          <w:i/>
          <w:iCs/>
          <w:sz w:val="20"/>
          <w:szCs w:val="20"/>
          <w:lang w:eastAsia="es-ES_tradnl"/>
        </w:rPr>
        <w:t>oferentes</w:t>
      </w:r>
      <w:r w:rsidRPr="00523932">
        <w:rPr>
          <w:rFonts w:ascii="Verdana" w:eastAsia="Calibri" w:hAnsi="Verdana" w:cs="Arial"/>
          <w:bCs/>
          <w:sz w:val="20"/>
          <w:szCs w:val="20"/>
          <w:lang w:eastAsia="es-ES_tradnl"/>
        </w:rPr>
        <w:t xml:space="preserve"> y </w:t>
      </w:r>
      <w:r w:rsidRPr="00523932">
        <w:rPr>
          <w:rFonts w:ascii="Verdana" w:eastAsia="Calibri" w:hAnsi="Verdana" w:cs="Arial"/>
          <w:bCs/>
          <w:i/>
          <w:iCs/>
          <w:sz w:val="20"/>
          <w:szCs w:val="20"/>
          <w:lang w:eastAsia="es-ES_tradnl"/>
        </w:rPr>
        <w:t>adjudicatarios</w:t>
      </w:r>
      <w:r w:rsidRPr="00523932">
        <w:rPr>
          <w:rFonts w:ascii="Verdana" w:eastAsia="Calibri" w:hAnsi="Verdana" w:cs="Arial"/>
          <w:bCs/>
          <w:sz w:val="20"/>
          <w:szCs w:val="20"/>
          <w:lang w:eastAsia="es-ES_tradnl"/>
        </w:rPr>
        <w:t xml:space="preserve"> carecen de la posibilidad de ceder contratos por sustracción de materia, siendo los efectos de la inhabilidad sobreviniente las consecuencias descritas </w:t>
      </w:r>
      <w:r w:rsidRPr="00523932">
        <w:rPr>
          <w:rFonts w:ascii="Verdana" w:eastAsia="Calibri" w:hAnsi="Verdana" w:cs="Arial"/>
          <w:bCs/>
          <w:i/>
          <w:iCs/>
          <w:sz w:val="20"/>
          <w:szCs w:val="20"/>
          <w:lang w:eastAsia="es-ES_tradnl"/>
        </w:rPr>
        <w:t>ut supra</w:t>
      </w:r>
      <w:r w:rsidRPr="00523932">
        <w:rPr>
          <w:rFonts w:ascii="Verdana" w:eastAsia="Calibri" w:hAnsi="Verdana" w:cs="Arial"/>
          <w:bCs/>
          <w:sz w:val="20"/>
          <w:szCs w:val="20"/>
          <w:lang w:eastAsia="es-ES_tradnl"/>
        </w:rPr>
        <w:t xml:space="preserve">. La cesión es una institución jurídica propia de la etapa contractual, por lo que sólo pueden cederse los </w:t>
      </w:r>
      <w:r w:rsidRPr="00523932">
        <w:rPr>
          <w:rFonts w:ascii="Verdana" w:eastAsia="Calibri" w:hAnsi="Verdana" w:cs="Arial"/>
          <w:bCs/>
          <w:sz w:val="20"/>
          <w:szCs w:val="20"/>
          <w:lang w:eastAsia="es-ES_tradnl"/>
        </w:rPr>
        <w:lastRenderedPageBreak/>
        <w:t>contratos estatales que se encuentren perfeccionados y no estén liquidados, para los que la requieran, o no se hayan extinguido las obligaciones entre las partes, para aquellos negocios que no la requieran.</w:t>
      </w:r>
    </w:p>
    <w:p w14:paraId="4857BDAE" w14:textId="77777777" w:rsidR="00EC5C6A" w:rsidRDefault="00EC5C6A" w:rsidP="00090B08">
      <w:pPr>
        <w:spacing w:after="0"/>
        <w:rPr>
          <w:rFonts w:ascii="Verdana" w:eastAsia="Geomanist Light" w:hAnsi="Verdana" w:cs="Arial"/>
          <w:color w:val="000000" w:themeColor="text1"/>
          <w:lang w:val="es-MX"/>
        </w:rPr>
      </w:pPr>
    </w:p>
    <w:p w14:paraId="69148E55" w14:textId="77777777" w:rsidR="00EC5C6A" w:rsidRDefault="00EC5C6A" w:rsidP="00090B08">
      <w:pPr>
        <w:spacing w:after="0"/>
        <w:rPr>
          <w:rFonts w:ascii="Verdana" w:eastAsia="Geomanist Light" w:hAnsi="Verdana" w:cs="Arial"/>
          <w:color w:val="000000" w:themeColor="text1"/>
          <w:lang w:val="es-MX"/>
        </w:rPr>
      </w:pPr>
    </w:p>
    <w:p w14:paraId="54A52FB7" w14:textId="77777777" w:rsidR="00EC5C6A" w:rsidRDefault="00EC5C6A" w:rsidP="00090B08">
      <w:pPr>
        <w:spacing w:after="0"/>
        <w:rPr>
          <w:rFonts w:ascii="Verdana" w:eastAsia="Geomanist Light" w:hAnsi="Verdana" w:cs="Arial"/>
          <w:color w:val="000000" w:themeColor="text1"/>
          <w:lang w:val="es-MX"/>
        </w:rPr>
      </w:pPr>
    </w:p>
    <w:p w14:paraId="60245B57" w14:textId="77777777" w:rsidR="00EC5C6A" w:rsidRDefault="00EC5C6A" w:rsidP="00090B08">
      <w:pPr>
        <w:spacing w:after="0"/>
        <w:rPr>
          <w:rFonts w:ascii="Verdana" w:eastAsia="Geomanist Light" w:hAnsi="Verdana" w:cs="Arial"/>
          <w:color w:val="000000" w:themeColor="text1"/>
          <w:lang w:val="es-MX"/>
        </w:rPr>
      </w:pPr>
    </w:p>
    <w:p w14:paraId="6DD10CF7" w14:textId="77777777" w:rsidR="00EC5C6A" w:rsidRDefault="00EC5C6A" w:rsidP="00090B08">
      <w:pPr>
        <w:spacing w:after="0"/>
        <w:rPr>
          <w:rFonts w:ascii="Verdana" w:eastAsia="Geomanist Light" w:hAnsi="Verdana" w:cs="Arial"/>
          <w:color w:val="000000" w:themeColor="text1"/>
          <w:lang w:val="es-MX"/>
        </w:rPr>
      </w:pPr>
    </w:p>
    <w:p w14:paraId="07EB634F" w14:textId="77777777" w:rsidR="00EC5C6A" w:rsidRDefault="00EC5C6A" w:rsidP="00090B08">
      <w:pPr>
        <w:spacing w:after="0"/>
        <w:rPr>
          <w:rFonts w:ascii="Verdana" w:eastAsia="Geomanist Light" w:hAnsi="Verdana" w:cs="Arial"/>
          <w:color w:val="000000" w:themeColor="text1"/>
          <w:lang w:val="es-MX"/>
        </w:rPr>
      </w:pPr>
    </w:p>
    <w:p w14:paraId="6C4D7FAD" w14:textId="77777777" w:rsidR="00EC5C6A" w:rsidRDefault="00EC5C6A" w:rsidP="00090B08">
      <w:pPr>
        <w:spacing w:after="0"/>
        <w:rPr>
          <w:rFonts w:ascii="Verdana" w:eastAsia="Geomanist Light" w:hAnsi="Verdana" w:cs="Arial"/>
          <w:color w:val="000000" w:themeColor="text1"/>
          <w:lang w:val="es-MX"/>
        </w:rPr>
      </w:pPr>
    </w:p>
    <w:p w14:paraId="7427EF9A" w14:textId="77777777" w:rsidR="00EC5C6A" w:rsidRDefault="00EC5C6A" w:rsidP="00090B08">
      <w:pPr>
        <w:spacing w:after="0"/>
        <w:rPr>
          <w:rFonts w:ascii="Verdana" w:eastAsia="Geomanist Light" w:hAnsi="Verdana" w:cs="Arial"/>
          <w:color w:val="000000" w:themeColor="text1"/>
          <w:lang w:val="es-MX"/>
        </w:rPr>
      </w:pPr>
    </w:p>
    <w:p w14:paraId="3B1FEC8B" w14:textId="77777777" w:rsidR="00EC5C6A" w:rsidRDefault="00EC5C6A" w:rsidP="00090B08">
      <w:pPr>
        <w:spacing w:after="0"/>
        <w:rPr>
          <w:rFonts w:ascii="Verdana" w:eastAsia="Geomanist Light" w:hAnsi="Verdana" w:cs="Arial"/>
          <w:color w:val="000000" w:themeColor="text1"/>
          <w:lang w:val="es-MX"/>
        </w:rPr>
      </w:pPr>
    </w:p>
    <w:p w14:paraId="52C2653D" w14:textId="77777777" w:rsidR="00EC5C6A" w:rsidRDefault="00EC5C6A" w:rsidP="00090B08">
      <w:pPr>
        <w:spacing w:after="0"/>
        <w:rPr>
          <w:rFonts w:ascii="Verdana" w:eastAsia="Geomanist Light" w:hAnsi="Verdana" w:cs="Arial"/>
          <w:color w:val="000000" w:themeColor="text1"/>
          <w:lang w:val="es-MX"/>
        </w:rPr>
      </w:pPr>
    </w:p>
    <w:p w14:paraId="06B2BFB6" w14:textId="77777777" w:rsidR="00EC5C6A" w:rsidRDefault="00EC5C6A" w:rsidP="00090B08">
      <w:pPr>
        <w:spacing w:after="0"/>
        <w:rPr>
          <w:rFonts w:ascii="Verdana" w:eastAsia="Geomanist Light" w:hAnsi="Verdana" w:cs="Arial"/>
          <w:color w:val="000000" w:themeColor="text1"/>
          <w:lang w:val="es-MX"/>
        </w:rPr>
      </w:pPr>
    </w:p>
    <w:p w14:paraId="127167D6" w14:textId="77777777" w:rsidR="00EC5C6A" w:rsidRDefault="00EC5C6A" w:rsidP="00090B08">
      <w:pPr>
        <w:spacing w:after="0"/>
        <w:rPr>
          <w:rFonts w:ascii="Verdana" w:eastAsia="Geomanist Light" w:hAnsi="Verdana" w:cs="Arial"/>
          <w:color w:val="000000" w:themeColor="text1"/>
          <w:lang w:val="es-MX"/>
        </w:rPr>
      </w:pPr>
    </w:p>
    <w:p w14:paraId="23A9317E" w14:textId="77777777" w:rsidR="00EC5C6A" w:rsidRDefault="00EC5C6A" w:rsidP="00090B08">
      <w:pPr>
        <w:spacing w:after="0"/>
        <w:rPr>
          <w:rFonts w:ascii="Verdana" w:eastAsia="Geomanist Light" w:hAnsi="Verdana" w:cs="Arial"/>
          <w:color w:val="000000" w:themeColor="text1"/>
          <w:lang w:val="es-MX"/>
        </w:rPr>
      </w:pPr>
    </w:p>
    <w:p w14:paraId="2CDC83D2" w14:textId="77777777" w:rsidR="00EC5C6A" w:rsidRDefault="00EC5C6A" w:rsidP="00090B08">
      <w:pPr>
        <w:spacing w:after="0"/>
        <w:rPr>
          <w:rFonts w:ascii="Verdana" w:eastAsia="Geomanist Light" w:hAnsi="Verdana" w:cs="Arial"/>
          <w:color w:val="000000" w:themeColor="text1"/>
          <w:lang w:val="es-MX"/>
        </w:rPr>
      </w:pPr>
    </w:p>
    <w:p w14:paraId="22B9C8FC" w14:textId="77777777" w:rsidR="00EC5C6A" w:rsidRDefault="00EC5C6A" w:rsidP="00090B08">
      <w:pPr>
        <w:spacing w:after="0"/>
        <w:rPr>
          <w:rFonts w:ascii="Verdana" w:eastAsia="Geomanist Light" w:hAnsi="Verdana" w:cs="Arial"/>
          <w:color w:val="000000" w:themeColor="text1"/>
          <w:lang w:val="es-MX"/>
        </w:rPr>
      </w:pPr>
    </w:p>
    <w:p w14:paraId="4C604024" w14:textId="77777777" w:rsidR="00EC5C6A" w:rsidRDefault="00EC5C6A" w:rsidP="00090B08">
      <w:pPr>
        <w:spacing w:after="0"/>
        <w:rPr>
          <w:rFonts w:ascii="Verdana" w:eastAsia="Geomanist Light" w:hAnsi="Verdana" w:cs="Arial"/>
          <w:color w:val="000000" w:themeColor="text1"/>
          <w:lang w:val="es-MX"/>
        </w:rPr>
      </w:pPr>
    </w:p>
    <w:p w14:paraId="238981B1" w14:textId="77777777" w:rsidR="00EC5C6A" w:rsidRDefault="00EC5C6A" w:rsidP="00090B08">
      <w:pPr>
        <w:spacing w:after="0"/>
        <w:rPr>
          <w:rFonts w:ascii="Verdana" w:eastAsia="Geomanist Light" w:hAnsi="Verdana" w:cs="Arial"/>
          <w:color w:val="000000" w:themeColor="text1"/>
          <w:lang w:val="es-MX"/>
        </w:rPr>
      </w:pPr>
    </w:p>
    <w:p w14:paraId="6D412A41" w14:textId="77777777" w:rsidR="00EC5C6A" w:rsidRDefault="00EC5C6A" w:rsidP="00090B08">
      <w:pPr>
        <w:spacing w:after="0"/>
        <w:rPr>
          <w:rFonts w:ascii="Verdana" w:eastAsia="Geomanist Light" w:hAnsi="Verdana" w:cs="Arial"/>
          <w:color w:val="000000" w:themeColor="text1"/>
          <w:lang w:val="es-MX"/>
        </w:rPr>
      </w:pPr>
    </w:p>
    <w:p w14:paraId="77FF0056" w14:textId="77777777" w:rsidR="00EC5C6A" w:rsidRDefault="00EC5C6A" w:rsidP="00090B08">
      <w:pPr>
        <w:spacing w:after="0"/>
        <w:rPr>
          <w:rFonts w:ascii="Verdana" w:eastAsia="Geomanist Light" w:hAnsi="Verdana" w:cs="Arial"/>
          <w:color w:val="000000" w:themeColor="text1"/>
          <w:lang w:val="es-MX"/>
        </w:rPr>
      </w:pPr>
    </w:p>
    <w:p w14:paraId="0CBCE5D8" w14:textId="77777777" w:rsidR="00EC5C6A" w:rsidRDefault="00EC5C6A" w:rsidP="00090B08">
      <w:pPr>
        <w:spacing w:after="0"/>
        <w:rPr>
          <w:rFonts w:ascii="Verdana" w:eastAsia="Geomanist Light" w:hAnsi="Verdana" w:cs="Arial"/>
          <w:color w:val="000000" w:themeColor="text1"/>
          <w:lang w:val="es-MX"/>
        </w:rPr>
      </w:pPr>
    </w:p>
    <w:p w14:paraId="45CA5A06" w14:textId="77777777" w:rsidR="00EC5C6A" w:rsidRDefault="00EC5C6A" w:rsidP="00090B08">
      <w:pPr>
        <w:spacing w:after="0"/>
        <w:rPr>
          <w:rFonts w:ascii="Verdana" w:eastAsia="Geomanist Light" w:hAnsi="Verdana" w:cs="Arial"/>
          <w:color w:val="000000" w:themeColor="text1"/>
          <w:lang w:val="es-MX"/>
        </w:rPr>
      </w:pPr>
    </w:p>
    <w:p w14:paraId="7EEC67C0" w14:textId="77777777" w:rsidR="00EC5C6A" w:rsidRDefault="00EC5C6A" w:rsidP="00090B08">
      <w:pPr>
        <w:spacing w:after="0"/>
        <w:rPr>
          <w:rFonts w:ascii="Verdana" w:eastAsia="Geomanist Light" w:hAnsi="Verdana" w:cs="Arial"/>
          <w:color w:val="000000" w:themeColor="text1"/>
          <w:lang w:val="es-MX"/>
        </w:rPr>
      </w:pPr>
    </w:p>
    <w:p w14:paraId="4E552D35" w14:textId="77777777" w:rsidR="00EC5C6A" w:rsidRDefault="00EC5C6A" w:rsidP="00090B08">
      <w:pPr>
        <w:spacing w:after="0"/>
        <w:rPr>
          <w:rFonts w:ascii="Verdana" w:eastAsia="Geomanist Light" w:hAnsi="Verdana" w:cs="Arial"/>
          <w:color w:val="000000" w:themeColor="text1"/>
          <w:lang w:val="es-MX"/>
        </w:rPr>
      </w:pPr>
    </w:p>
    <w:p w14:paraId="34B418DB" w14:textId="77777777" w:rsidR="00EC5C6A" w:rsidRDefault="00EC5C6A" w:rsidP="00090B08">
      <w:pPr>
        <w:spacing w:after="0"/>
        <w:rPr>
          <w:rFonts w:ascii="Verdana" w:eastAsia="Geomanist Light" w:hAnsi="Verdana" w:cs="Arial"/>
          <w:color w:val="000000" w:themeColor="text1"/>
          <w:lang w:val="es-MX"/>
        </w:rPr>
      </w:pPr>
    </w:p>
    <w:p w14:paraId="7C2A51C9" w14:textId="77777777" w:rsidR="00EC5C6A" w:rsidRDefault="00EC5C6A" w:rsidP="00090B08">
      <w:pPr>
        <w:spacing w:after="0"/>
        <w:rPr>
          <w:rFonts w:ascii="Verdana" w:eastAsia="Geomanist Light" w:hAnsi="Verdana" w:cs="Arial"/>
          <w:color w:val="000000" w:themeColor="text1"/>
          <w:lang w:val="es-MX"/>
        </w:rPr>
      </w:pPr>
    </w:p>
    <w:p w14:paraId="7E90901D" w14:textId="77777777" w:rsidR="00EC5C6A" w:rsidRDefault="00EC5C6A" w:rsidP="00090B08">
      <w:pPr>
        <w:spacing w:after="0"/>
        <w:rPr>
          <w:rFonts w:ascii="Verdana" w:eastAsia="Geomanist Light" w:hAnsi="Verdana" w:cs="Arial"/>
          <w:color w:val="000000" w:themeColor="text1"/>
          <w:lang w:val="es-MX"/>
        </w:rPr>
      </w:pPr>
    </w:p>
    <w:p w14:paraId="0AF5B1BC" w14:textId="77777777" w:rsidR="00EC5C6A" w:rsidRDefault="00EC5C6A" w:rsidP="00090B08">
      <w:pPr>
        <w:spacing w:after="0"/>
        <w:rPr>
          <w:rFonts w:ascii="Verdana" w:eastAsia="Geomanist Light" w:hAnsi="Verdana" w:cs="Arial"/>
          <w:color w:val="000000" w:themeColor="text1"/>
          <w:lang w:val="es-MX"/>
        </w:rPr>
      </w:pPr>
    </w:p>
    <w:p w14:paraId="0EB01CE4" w14:textId="77777777" w:rsidR="00EC5C6A" w:rsidRDefault="00EC5C6A" w:rsidP="00090B08">
      <w:pPr>
        <w:spacing w:after="0"/>
        <w:rPr>
          <w:rFonts w:ascii="Verdana" w:eastAsia="Geomanist Light" w:hAnsi="Verdana" w:cs="Arial"/>
          <w:color w:val="000000" w:themeColor="text1"/>
          <w:lang w:val="es-MX"/>
        </w:rPr>
      </w:pPr>
    </w:p>
    <w:p w14:paraId="15511506" w14:textId="77777777" w:rsidR="00EC5C6A" w:rsidRDefault="00EC5C6A" w:rsidP="00090B08">
      <w:pPr>
        <w:spacing w:after="0"/>
        <w:rPr>
          <w:rFonts w:ascii="Verdana" w:eastAsia="Geomanist Light" w:hAnsi="Verdana" w:cs="Arial"/>
          <w:color w:val="000000" w:themeColor="text1"/>
          <w:lang w:val="es-MX"/>
        </w:rPr>
      </w:pPr>
    </w:p>
    <w:p w14:paraId="62A03183" w14:textId="77777777" w:rsidR="00EC5C6A" w:rsidRDefault="00EC5C6A" w:rsidP="00090B08">
      <w:pPr>
        <w:spacing w:after="0"/>
        <w:rPr>
          <w:rFonts w:ascii="Verdana" w:eastAsia="Geomanist Light" w:hAnsi="Verdana" w:cs="Arial"/>
          <w:color w:val="000000" w:themeColor="text1"/>
          <w:lang w:val="es-MX"/>
        </w:rPr>
      </w:pPr>
    </w:p>
    <w:p w14:paraId="3698607B" w14:textId="77777777" w:rsidR="00EC5C6A" w:rsidRDefault="00EC5C6A" w:rsidP="00090B08">
      <w:pPr>
        <w:spacing w:after="0"/>
        <w:rPr>
          <w:rFonts w:ascii="Verdana" w:eastAsia="Geomanist Light" w:hAnsi="Verdana" w:cs="Arial"/>
          <w:color w:val="000000" w:themeColor="text1"/>
          <w:lang w:val="es-MX"/>
        </w:rPr>
      </w:pPr>
    </w:p>
    <w:p w14:paraId="0EBA2C1F" w14:textId="77777777" w:rsidR="00EC5C6A" w:rsidRDefault="00EC5C6A" w:rsidP="00090B08">
      <w:pPr>
        <w:spacing w:after="0"/>
        <w:rPr>
          <w:rFonts w:ascii="Verdana" w:eastAsia="Geomanist Light" w:hAnsi="Verdana" w:cs="Arial"/>
          <w:color w:val="000000" w:themeColor="text1"/>
          <w:lang w:val="es-MX"/>
        </w:rPr>
      </w:pPr>
    </w:p>
    <w:p w14:paraId="173B6826" w14:textId="77777777" w:rsidR="00EC5C6A" w:rsidRDefault="00EC5C6A" w:rsidP="00090B08">
      <w:pPr>
        <w:spacing w:after="0"/>
        <w:rPr>
          <w:rFonts w:ascii="Verdana" w:eastAsia="Geomanist Light" w:hAnsi="Verdana" w:cs="Arial"/>
          <w:color w:val="000000" w:themeColor="text1"/>
          <w:lang w:val="es-MX"/>
        </w:rPr>
      </w:pPr>
    </w:p>
    <w:p w14:paraId="5D1726D6" w14:textId="77777777" w:rsidR="00EC5C6A" w:rsidRDefault="00EC5C6A" w:rsidP="00090B08">
      <w:pPr>
        <w:spacing w:after="0"/>
        <w:rPr>
          <w:rFonts w:ascii="Verdana" w:eastAsia="Geomanist Light" w:hAnsi="Verdana" w:cs="Arial"/>
          <w:color w:val="000000" w:themeColor="text1"/>
          <w:lang w:val="es-MX"/>
        </w:rPr>
      </w:pPr>
    </w:p>
    <w:p w14:paraId="5C39BFF3" w14:textId="77777777" w:rsidR="00EC5C6A" w:rsidRDefault="00EC5C6A" w:rsidP="00090B08">
      <w:pPr>
        <w:spacing w:after="0"/>
        <w:rPr>
          <w:rFonts w:ascii="Verdana" w:eastAsia="Geomanist Light" w:hAnsi="Verdana" w:cs="Arial"/>
          <w:color w:val="000000" w:themeColor="text1"/>
          <w:lang w:val="es-MX"/>
        </w:rPr>
      </w:pPr>
    </w:p>
    <w:p w14:paraId="2E85AFCF" w14:textId="77777777" w:rsidR="00EC5C6A" w:rsidRDefault="00EC5C6A" w:rsidP="00090B08">
      <w:pPr>
        <w:spacing w:after="0"/>
        <w:rPr>
          <w:rFonts w:ascii="Verdana" w:eastAsia="Geomanist Light" w:hAnsi="Verdana" w:cs="Arial"/>
          <w:color w:val="000000" w:themeColor="text1"/>
          <w:lang w:val="es-MX"/>
        </w:rPr>
      </w:pPr>
    </w:p>
    <w:p w14:paraId="59B66C91" w14:textId="77777777" w:rsidR="00EC5C6A" w:rsidRDefault="00EC5C6A" w:rsidP="00090B08">
      <w:pPr>
        <w:spacing w:after="0"/>
        <w:rPr>
          <w:rFonts w:ascii="Verdana" w:eastAsia="Geomanist Light" w:hAnsi="Verdana" w:cs="Arial"/>
          <w:color w:val="000000" w:themeColor="text1"/>
          <w:lang w:val="es-MX"/>
        </w:rPr>
      </w:pPr>
    </w:p>
    <w:p w14:paraId="466FE4BF" w14:textId="77777777" w:rsidR="00090B08" w:rsidRPr="00277E26" w:rsidRDefault="00090B08" w:rsidP="00090B08">
      <w:pPr>
        <w:spacing w:after="0"/>
        <w:rPr>
          <w:rFonts w:ascii="Verdana" w:eastAsia="Geomanist Light" w:hAnsi="Verdana" w:cs="Arial"/>
          <w:color w:val="201F1E"/>
          <w:lang w:val="es-MX"/>
        </w:rPr>
      </w:pPr>
      <w:r w:rsidRPr="00277E26">
        <w:rPr>
          <w:rFonts w:ascii="Verdana" w:eastAsia="Geomanist Light" w:hAnsi="Verdana" w:cs="Arial"/>
          <w:color w:val="000000" w:themeColor="text1"/>
          <w:lang w:val="es-MX"/>
        </w:rPr>
        <w:lastRenderedPageBreak/>
        <w:t>Bogotá D.C., </w:t>
      </w:r>
      <w:r w:rsidR="00B90A61" w:rsidRPr="00B90A61">
        <w:rPr>
          <w:rFonts w:ascii="Verdana" w:eastAsia="Geomanist Light" w:hAnsi="Verdana" w:cs="Arial"/>
          <w:color w:val="201F1E"/>
          <w:lang w:val="es-MX"/>
        </w:rPr>
        <w:t>29 de Enero de 2025</w:t>
      </w:r>
    </w:p>
    <w:p w14:paraId="4DA746B5" w14:textId="77777777" w:rsidR="00090B08" w:rsidRDefault="00090B08" w:rsidP="00090B08">
      <w:pPr>
        <w:spacing w:after="0"/>
        <w:jc w:val="both"/>
        <w:rPr>
          <w:rFonts w:ascii="Verdana" w:eastAsia="Calibri" w:hAnsi="Verdana" w:cs="Arial"/>
          <w:color w:val="000000"/>
          <w:lang w:val="es-ES"/>
        </w:rPr>
      </w:pPr>
    </w:p>
    <w:p w14:paraId="255066FF" w14:textId="77777777" w:rsidR="00B90A61" w:rsidRPr="00277E26" w:rsidRDefault="00B90A61" w:rsidP="00B90A61">
      <w:pPr>
        <w:spacing w:after="0"/>
        <w:jc w:val="right"/>
        <w:rPr>
          <w:rFonts w:ascii="Verdana" w:eastAsia="Calibri" w:hAnsi="Verdana" w:cs="Arial"/>
          <w:color w:val="000000"/>
          <w:lang w:val="es-ES"/>
        </w:rPr>
      </w:pPr>
      <w:r w:rsidRPr="00B90A61">
        <w:rPr>
          <w:rFonts w:ascii="Verdana" w:eastAsia="Calibri" w:hAnsi="Verdana" w:cs="Arial"/>
          <w:noProof/>
          <w:color w:val="000000"/>
          <w:lang w:val="es-ES"/>
        </w:rPr>
        <w:drawing>
          <wp:inline distT="0" distB="0" distL="0" distR="0" wp14:anchorId="4BF32E9F" wp14:editId="4B506EC4">
            <wp:extent cx="3238500" cy="901700"/>
            <wp:effectExtent l="0" t="0" r="0" b="0"/>
            <wp:docPr id="1217367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67625" name=""/>
                    <pic:cNvPicPr/>
                  </pic:nvPicPr>
                  <pic:blipFill>
                    <a:blip r:embed="rId10"/>
                    <a:stretch>
                      <a:fillRect/>
                    </a:stretch>
                  </pic:blipFill>
                  <pic:spPr>
                    <a:xfrm>
                      <a:off x="0" y="0"/>
                      <a:ext cx="3238500" cy="901700"/>
                    </a:xfrm>
                    <a:prstGeom prst="rect">
                      <a:avLst/>
                    </a:prstGeom>
                  </pic:spPr>
                </pic:pic>
              </a:graphicData>
            </a:graphic>
          </wp:inline>
        </w:drawing>
      </w:r>
    </w:p>
    <w:p w14:paraId="188C04EE" w14:textId="77777777" w:rsidR="00090B08" w:rsidRPr="00277E26" w:rsidRDefault="00090B08" w:rsidP="00090B08">
      <w:pPr>
        <w:spacing w:after="0"/>
        <w:jc w:val="both"/>
        <w:rPr>
          <w:rFonts w:ascii="Verdana" w:eastAsia="Calibri" w:hAnsi="Verdana" w:cs="Arial"/>
          <w:color w:val="000000"/>
          <w:lang w:val="es-ES"/>
        </w:rPr>
      </w:pPr>
    </w:p>
    <w:p w14:paraId="4EA5CC17" w14:textId="77777777" w:rsidR="00090B08" w:rsidRPr="00277E26" w:rsidRDefault="00090B08" w:rsidP="00090B08">
      <w:pPr>
        <w:spacing w:after="0"/>
        <w:jc w:val="both"/>
        <w:rPr>
          <w:rFonts w:ascii="Verdana" w:eastAsia="Calibri" w:hAnsi="Verdana" w:cs="Arial"/>
          <w:lang w:val="es-ES" w:eastAsia="es-ES"/>
        </w:rPr>
      </w:pPr>
      <w:r w:rsidRPr="00277E26">
        <w:rPr>
          <w:rFonts w:ascii="Verdana" w:eastAsia="Calibri" w:hAnsi="Verdana" w:cs="Arial"/>
          <w:lang w:val="es-ES" w:eastAsia="es-ES"/>
        </w:rPr>
        <w:t>Señor</w:t>
      </w:r>
      <w:r>
        <w:rPr>
          <w:rFonts w:ascii="Verdana" w:eastAsia="Calibri" w:hAnsi="Verdana" w:cs="Arial"/>
          <w:lang w:val="es-ES" w:eastAsia="es-ES"/>
        </w:rPr>
        <w:t>a</w:t>
      </w:r>
    </w:p>
    <w:p w14:paraId="32FD6579" w14:textId="457D8C14" w:rsidR="00090B08" w:rsidRPr="00277E26" w:rsidRDefault="00F564E1" w:rsidP="00090B08">
      <w:pPr>
        <w:spacing w:after="0"/>
        <w:rPr>
          <w:rFonts w:ascii="Verdana" w:eastAsia="Calibri" w:hAnsi="Verdana" w:cs="Arial"/>
          <w:lang w:val="es-ES" w:eastAsia="es-ES"/>
        </w:rPr>
      </w:pPr>
      <w:r>
        <w:rPr>
          <w:rFonts w:ascii="Verdana" w:eastAsia="Calibri" w:hAnsi="Verdana" w:cs="Arial"/>
          <w:b/>
          <w:lang w:val="es-ES_tradnl" w:eastAsia="es-ES_tradnl"/>
        </w:rPr>
        <w:t>XXXXX</w:t>
      </w:r>
    </w:p>
    <w:p w14:paraId="3E2AA4DB" w14:textId="77777777" w:rsidR="00090B08" w:rsidRPr="00277E26" w:rsidRDefault="00090B08" w:rsidP="00090B08">
      <w:pPr>
        <w:spacing w:after="0"/>
        <w:rPr>
          <w:rFonts w:ascii="Verdana" w:eastAsia="Calibri" w:hAnsi="Verdana" w:cs="Arial"/>
          <w:b/>
          <w:bCs/>
          <w:color w:val="000000"/>
          <w:lang w:val="es-ES_tradnl" w:eastAsia="es-ES_tradnl"/>
        </w:rPr>
      </w:pPr>
    </w:p>
    <w:p w14:paraId="05032D7E" w14:textId="77777777" w:rsidR="00090B08" w:rsidRPr="00277E26" w:rsidRDefault="00090B08" w:rsidP="00090B08">
      <w:pPr>
        <w:spacing w:after="0"/>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90B08" w:rsidRPr="00277E26" w14:paraId="6D984821" w14:textId="77777777" w:rsidTr="00D23249">
        <w:trPr>
          <w:trHeight w:val="884"/>
        </w:trPr>
        <w:tc>
          <w:tcPr>
            <w:tcW w:w="2689" w:type="dxa"/>
          </w:tcPr>
          <w:p w14:paraId="65F4FCA2" w14:textId="77777777" w:rsidR="00090B08" w:rsidRPr="00277E26" w:rsidRDefault="00090B08" w:rsidP="00090B08">
            <w:pPr>
              <w:jc w:val="both"/>
              <w:rPr>
                <w:rFonts w:ascii="Verdana" w:eastAsia="Calibri" w:hAnsi="Verdana" w:cs="Arial"/>
                <w:b/>
                <w:bCs/>
                <w:color w:val="7030A0"/>
                <w:lang w:val="es-ES_tradnl" w:eastAsia="es-ES_tradnl"/>
              </w:rPr>
            </w:pPr>
          </w:p>
        </w:tc>
        <w:tc>
          <w:tcPr>
            <w:tcW w:w="6100" w:type="dxa"/>
          </w:tcPr>
          <w:p w14:paraId="028CC618" w14:textId="1837E49F" w:rsidR="00090B08" w:rsidRPr="00277E26" w:rsidRDefault="00090B08" w:rsidP="00090B08">
            <w:pPr>
              <w:jc w:val="both"/>
              <w:rPr>
                <w:rFonts w:ascii="Verdana" w:eastAsia="Calibri" w:hAnsi="Verdana" w:cs="Arial"/>
                <w:b/>
                <w:bCs/>
                <w:color w:val="7030A0"/>
                <w:lang w:val="es-ES" w:eastAsia="es-ES"/>
              </w:rPr>
            </w:pPr>
            <w:r w:rsidRPr="00277E26">
              <w:rPr>
                <w:rFonts w:ascii="Verdana" w:eastAsia="Calibri" w:hAnsi="Verdana" w:cs="Arial"/>
                <w:b/>
                <w:bCs/>
                <w:lang w:val="es-ES" w:eastAsia="es-ES"/>
              </w:rPr>
              <w:t xml:space="preserve">Concepto C – </w:t>
            </w:r>
            <w:r>
              <w:rPr>
                <w:rFonts w:ascii="Verdana" w:eastAsia="Calibri" w:hAnsi="Verdana" w:cs="Arial"/>
                <w:b/>
                <w:bCs/>
                <w:lang w:val="es-ES" w:eastAsia="es-ES"/>
              </w:rPr>
              <w:t>1027</w:t>
            </w:r>
            <w:r w:rsidRPr="00277E26">
              <w:rPr>
                <w:rFonts w:ascii="Verdana" w:eastAsia="Calibri" w:hAnsi="Verdana" w:cs="Arial"/>
                <w:b/>
                <w:bCs/>
                <w:lang w:val="es-ES" w:eastAsia="es-ES"/>
              </w:rPr>
              <w:t xml:space="preserve"> de 202</w:t>
            </w:r>
            <w:r w:rsidR="00793A57">
              <w:rPr>
                <w:rFonts w:ascii="Verdana" w:eastAsia="Calibri" w:hAnsi="Verdana" w:cs="Arial"/>
                <w:b/>
                <w:bCs/>
                <w:lang w:val="es-ES" w:eastAsia="es-ES"/>
              </w:rPr>
              <w:t>4</w:t>
            </w:r>
          </w:p>
        </w:tc>
      </w:tr>
      <w:tr w:rsidR="00090B08" w:rsidRPr="00277E26" w14:paraId="65D9D079" w14:textId="77777777" w:rsidTr="00D23249">
        <w:trPr>
          <w:trHeight w:val="884"/>
        </w:trPr>
        <w:tc>
          <w:tcPr>
            <w:tcW w:w="2689" w:type="dxa"/>
          </w:tcPr>
          <w:p w14:paraId="061409CA" w14:textId="77777777" w:rsidR="00090B08" w:rsidRPr="00277E26" w:rsidRDefault="00090B08" w:rsidP="00090B08">
            <w:pPr>
              <w:jc w:val="both"/>
              <w:rPr>
                <w:rFonts w:ascii="Verdana" w:eastAsia="Calibri" w:hAnsi="Verdana" w:cs="Arial"/>
                <w:color w:val="000000"/>
                <w:lang w:val="es-ES_tradnl" w:eastAsia="es-ES_tradnl"/>
              </w:rPr>
            </w:pPr>
            <w:r w:rsidRPr="00277E26">
              <w:rPr>
                <w:rFonts w:ascii="Verdana" w:eastAsia="Calibri" w:hAnsi="Verdana" w:cs="Arial"/>
                <w:b/>
                <w:color w:val="000000"/>
                <w:lang w:val="es-ES_tradnl" w:eastAsia="es-ES_tradnl"/>
              </w:rPr>
              <w:t>Temas:</w:t>
            </w:r>
            <w:r w:rsidRPr="00277E26">
              <w:rPr>
                <w:rFonts w:ascii="Verdana" w:eastAsia="Calibri" w:hAnsi="Verdana" w:cs="Arial"/>
                <w:color w:val="000000"/>
                <w:lang w:val="es-ES_tradnl" w:eastAsia="es-ES_tradnl"/>
              </w:rPr>
              <w:t xml:space="preserve">                   </w:t>
            </w:r>
          </w:p>
        </w:tc>
        <w:tc>
          <w:tcPr>
            <w:tcW w:w="6100" w:type="dxa"/>
          </w:tcPr>
          <w:p w14:paraId="49C82EDF" w14:textId="77777777" w:rsidR="00090B08" w:rsidRPr="00277E26" w:rsidRDefault="00090B08" w:rsidP="00090B08">
            <w:pPr>
              <w:spacing w:line="276" w:lineRule="auto"/>
              <w:jc w:val="both"/>
              <w:rPr>
                <w:rFonts w:ascii="Verdana" w:eastAsia="Calibri" w:hAnsi="Verdana" w:cs="Arial"/>
                <w:lang w:val="es-ES" w:eastAsia="es-ES"/>
              </w:rPr>
            </w:pPr>
            <w:r w:rsidRPr="00523932">
              <w:rPr>
                <w:rFonts w:ascii="Verdana" w:eastAsia="Calibri" w:hAnsi="Verdana" w:cs="Arial"/>
                <w:lang w:val="es-ES" w:eastAsia="es-ES"/>
              </w:rPr>
              <w:t>INHABILIDADES – Definición – Finalidad – Limitación capacidad contractual</w:t>
            </w:r>
            <w:r>
              <w:rPr>
                <w:rFonts w:ascii="Verdana" w:eastAsia="Calibri" w:hAnsi="Verdana" w:cs="Arial"/>
                <w:lang w:val="es-ES" w:eastAsia="es-ES"/>
              </w:rPr>
              <w:t xml:space="preserve"> / </w:t>
            </w:r>
            <w:r w:rsidRPr="00523932">
              <w:rPr>
                <w:rFonts w:ascii="Verdana" w:eastAsia="Calibri" w:hAnsi="Verdana" w:cs="Arial"/>
                <w:lang w:val="es-ES" w:eastAsia="es-ES"/>
              </w:rPr>
              <w:t>CONTRATACIÓN ESTATAL – Capacidad – Validez contratos – Régimen de contratación – Inscripción – Limitación de la capacidad</w:t>
            </w:r>
            <w:r>
              <w:rPr>
                <w:rFonts w:ascii="Verdana" w:eastAsia="Calibri" w:hAnsi="Verdana" w:cs="Arial"/>
                <w:lang w:val="es-ES" w:eastAsia="es-ES"/>
              </w:rPr>
              <w:t xml:space="preserve"> / </w:t>
            </w:r>
            <w:r w:rsidRPr="00523932">
              <w:rPr>
                <w:rFonts w:ascii="Verdana" w:eastAsia="Calibri" w:hAnsi="Verdana" w:cs="Arial"/>
                <w:lang w:val="es-ES" w:eastAsia="es-ES"/>
              </w:rPr>
              <w:t>INHABILIDADES – Taxatividad – Principio de legalidad – Interpretación restrictiva</w:t>
            </w:r>
            <w:r>
              <w:rPr>
                <w:rFonts w:ascii="Verdana" w:eastAsia="Calibri" w:hAnsi="Verdana" w:cs="Arial"/>
                <w:lang w:val="es-ES" w:eastAsia="es-ES"/>
              </w:rPr>
              <w:t xml:space="preserve"> / </w:t>
            </w:r>
            <w:r w:rsidRPr="00523932">
              <w:rPr>
                <w:rFonts w:ascii="Verdana" w:eastAsia="Calibri" w:hAnsi="Verdana" w:cs="Arial"/>
                <w:lang w:val="es-ES" w:eastAsia="es-ES"/>
              </w:rPr>
              <w:t>INHABILIDADES SOBREVIENTES – Efectos – Oferentes – Adjudicatarios – Cesión de contrato – Imposibilidad</w:t>
            </w:r>
          </w:p>
          <w:p w14:paraId="1FBB0C76" w14:textId="77777777" w:rsidR="00090B08" w:rsidRPr="00277E26" w:rsidRDefault="00090B08" w:rsidP="00090B08">
            <w:pPr>
              <w:spacing w:line="276" w:lineRule="auto"/>
              <w:jc w:val="both"/>
              <w:rPr>
                <w:rFonts w:ascii="Verdana" w:eastAsia="Calibri" w:hAnsi="Verdana" w:cs="Arial"/>
                <w:lang w:val="es-ES" w:eastAsia="es-ES"/>
              </w:rPr>
            </w:pPr>
            <w:r w:rsidRPr="00277E26">
              <w:rPr>
                <w:rFonts w:ascii="Verdana" w:eastAsia="Calibri" w:hAnsi="Verdana" w:cs="Arial"/>
                <w:lang w:val="es-ES" w:eastAsia="es-ES"/>
              </w:rPr>
              <w:t xml:space="preserve">  </w:t>
            </w:r>
          </w:p>
        </w:tc>
      </w:tr>
      <w:tr w:rsidR="00090B08" w:rsidRPr="00277E26" w14:paraId="10CE8477" w14:textId="77777777" w:rsidTr="00D23249">
        <w:tc>
          <w:tcPr>
            <w:tcW w:w="2689" w:type="dxa"/>
          </w:tcPr>
          <w:p w14:paraId="701FA857" w14:textId="77777777" w:rsidR="00090B08" w:rsidRPr="00277E26" w:rsidRDefault="00090B08" w:rsidP="00090B08">
            <w:pPr>
              <w:jc w:val="both"/>
              <w:rPr>
                <w:rFonts w:ascii="Verdana" w:eastAsia="Calibri" w:hAnsi="Verdana" w:cs="Arial"/>
                <w:b/>
                <w:lang w:val="es-ES_tradnl" w:eastAsia="es-ES_tradnl"/>
              </w:rPr>
            </w:pPr>
            <w:r w:rsidRPr="00277E26">
              <w:rPr>
                <w:rFonts w:ascii="Verdana" w:eastAsia="Calibri" w:hAnsi="Verdana" w:cs="Arial"/>
                <w:b/>
                <w:lang w:val="es-ES_tradnl" w:eastAsia="es-ES_tradnl"/>
              </w:rPr>
              <w:t>Radicación:</w:t>
            </w:r>
            <w:r w:rsidRPr="00277E26">
              <w:rPr>
                <w:rFonts w:ascii="Verdana" w:eastAsia="Calibri" w:hAnsi="Verdana" w:cs="Arial"/>
                <w:lang w:val="es-ES_tradnl" w:eastAsia="es-ES_tradnl"/>
              </w:rPr>
              <w:t xml:space="preserve">               </w:t>
            </w:r>
          </w:p>
        </w:tc>
        <w:tc>
          <w:tcPr>
            <w:tcW w:w="6100" w:type="dxa"/>
          </w:tcPr>
          <w:p w14:paraId="098A1183" w14:textId="77777777" w:rsidR="00090B08" w:rsidRPr="00277E26" w:rsidRDefault="00090B08" w:rsidP="00090B08">
            <w:pPr>
              <w:jc w:val="both"/>
              <w:rPr>
                <w:rFonts w:ascii="Verdana" w:eastAsia="Calibri" w:hAnsi="Verdana" w:cs="Arial"/>
                <w:lang w:eastAsia="es-ES_tradnl"/>
              </w:rPr>
            </w:pPr>
            <w:r w:rsidRPr="00277E26">
              <w:rPr>
                <w:rFonts w:ascii="Verdana" w:eastAsia="Calibri" w:hAnsi="Verdana" w:cs="Arial"/>
                <w:lang w:val="es-ES_tradnl" w:eastAsia="es-ES_tradnl"/>
              </w:rPr>
              <w:t xml:space="preserve">Respuesta a la consulta con radicado No. </w:t>
            </w:r>
            <w:r w:rsidRPr="00534CFC">
              <w:rPr>
                <w:rFonts w:ascii="Verdana" w:eastAsia="Calibri" w:hAnsi="Verdana" w:cs="Arial"/>
                <w:lang w:val="es-ES_tradnl" w:eastAsia="es-ES_tradnl"/>
              </w:rPr>
              <w:t xml:space="preserve">P20241218012666 </w:t>
            </w:r>
            <w:r w:rsidRPr="00277E26">
              <w:rPr>
                <w:rFonts w:ascii="Verdana" w:eastAsia="Calibri" w:hAnsi="Verdana" w:cs="Arial"/>
                <w:lang w:val="es-ES_tradnl" w:eastAsia="es-ES_tradnl"/>
              </w:rPr>
              <w:t xml:space="preserve">                                    </w:t>
            </w:r>
          </w:p>
        </w:tc>
      </w:tr>
    </w:tbl>
    <w:p w14:paraId="5DBC93B5" w14:textId="77777777" w:rsidR="00090B08" w:rsidRPr="00277E26" w:rsidRDefault="00090B08" w:rsidP="00090B08">
      <w:pPr>
        <w:spacing w:after="0"/>
        <w:jc w:val="both"/>
        <w:rPr>
          <w:rFonts w:ascii="Verdana" w:eastAsia="Calibri" w:hAnsi="Verdana" w:cs="Arial"/>
          <w:color w:val="000000"/>
          <w:lang w:val="es-ES_tradnl" w:eastAsia="es-ES_tradnl"/>
        </w:rPr>
      </w:pPr>
    </w:p>
    <w:p w14:paraId="267B75B9" w14:textId="77777777" w:rsidR="00090B08" w:rsidRPr="00277E26" w:rsidRDefault="00090B08" w:rsidP="00090B08">
      <w:pPr>
        <w:spacing w:after="0"/>
        <w:jc w:val="both"/>
        <w:rPr>
          <w:rFonts w:ascii="Verdana" w:eastAsia="Calibri" w:hAnsi="Verdana" w:cs="Arial"/>
          <w:color w:val="000000"/>
          <w:lang w:val="es-ES_tradnl" w:eastAsia="es-ES_tradnl"/>
        </w:rPr>
      </w:pPr>
    </w:p>
    <w:p w14:paraId="6960146B" w14:textId="33543064" w:rsidR="00090B08" w:rsidRPr="00277E26" w:rsidRDefault="00090B08" w:rsidP="00090B08">
      <w:pPr>
        <w:spacing w:after="0" w:line="276" w:lineRule="auto"/>
        <w:jc w:val="both"/>
        <w:rPr>
          <w:rFonts w:ascii="Verdana" w:eastAsia="Calibri" w:hAnsi="Verdana" w:cs="Arial"/>
          <w:lang w:val="es-ES" w:eastAsia="es-ES"/>
        </w:rPr>
      </w:pPr>
      <w:r w:rsidRPr="00277E26">
        <w:rPr>
          <w:rFonts w:ascii="Verdana" w:eastAsia="Calibri" w:hAnsi="Verdana" w:cs="Arial"/>
          <w:lang w:val="es-ES" w:eastAsia="es-ES"/>
        </w:rPr>
        <w:t>Estimad</w:t>
      </w:r>
      <w:r>
        <w:rPr>
          <w:rFonts w:ascii="Verdana" w:eastAsia="Calibri" w:hAnsi="Verdana" w:cs="Arial"/>
          <w:lang w:val="es-ES" w:eastAsia="es-ES"/>
        </w:rPr>
        <w:t>a</w:t>
      </w:r>
      <w:r w:rsidRPr="00277E26">
        <w:rPr>
          <w:rFonts w:ascii="Verdana" w:eastAsia="Calibri" w:hAnsi="Verdana" w:cs="Arial"/>
          <w:lang w:val="es-ES" w:eastAsia="es-ES"/>
        </w:rPr>
        <w:t xml:space="preserve"> señor</w:t>
      </w:r>
      <w:r>
        <w:rPr>
          <w:rFonts w:ascii="Verdana" w:eastAsia="Calibri" w:hAnsi="Verdana" w:cs="Arial"/>
          <w:lang w:val="es-ES" w:eastAsia="es-ES"/>
        </w:rPr>
        <w:t>a</w:t>
      </w:r>
      <w:r w:rsidRPr="00277E26">
        <w:rPr>
          <w:rFonts w:ascii="Verdana" w:eastAsia="Calibri" w:hAnsi="Verdana" w:cs="Arial"/>
          <w:lang w:val="es-ES" w:eastAsia="es-ES"/>
        </w:rPr>
        <w:t xml:space="preserve"> </w:t>
      </w:r>
      <w:r w:rsidR="00F564E1">
        <w:rPr>
          <w:rFonts w:ascii="Verdana" w:eastAsia="Calibri" w:hAnsi="Verdana" w:cs="Arial"/>
          <w:lang w:val="es-ES" w:eastAsia="es-ES"/>
        </w:rPr>
        <w:t>XXXX</w:t>
      </w:r>
      <w:r w:rsidRPr="00277E26">
        <w:rPr>
          <w:rFonts w:ascii="Verdana" w:eastAsia="Calibri" w:hAnsi="Verdana" w:cs="Arial"/>
          <w:lang w:val="es-ES" w:eastAsia="es-ES"/>
        </w:rPr>
        <w:t xml:space="preserve"> </w:t>
      </w:r>
    </w:p>
    <w:p w14:paraId="25FC4163" w14:textId="77777777" w:rsidR="00090B08" w:rsidRPr="00277E26" w:rsidRDefault="00090B08" w:rsidP="00090B08">
      <w:pPr>
        <w:tabs>
          <w:tab w:val="left" w:pos="3768"/>
        </w:tabs>
        <w:spacing w:after="0" w:line="276" w:lineRule="auto"/>
        <w:jc w:val="both"/>
        <w:rPr>
          <w:rFonts w:ascii="Verdana" w:eastAsia="Calibri" w:hAnsi="Verdana" w:cs="Arial"/>
          <w:color w:val="000000" w:themeColor="text1"/>
          <w:lang w:val="es-ES" w:eastAsia="es-ES"/>
        </w:rPr>
      </w:pPr>
      <w:r w:rsidRPr="00277E26">
        <w:rPr>
          <w:rFonts w:ascii="Verdana" w:eastAsia="Calibri" w:hAnsi="Verdana" w:cs="Arial"/>
          <w:color w:val="000000" w:themeColor="text1"/>
          <w:lang w:val="es-ES" w:eastAsia="es-ES"/>
        </w:rPr>
        <w:tab/>
      </w:r>
    </w:p>
    <w:p w14:paraId="596537BF" w14:textId="77777777" w:rsidR="00090B08" w:rsidRPr="00277E26" w:rsidRDefault="00090B08" w:rsidP="00090B08">
      <w:pPr>
        <w:spacing w:after="0" w:line="276" w:lineRule="auto"/>
        <w:jc w:val="both"/>
        <w:rPr>
          <w:rFonts w:ascii="Verdana" w:eastAsia="Calibri" w:hAnsi="Verdana" w:cs="Arial"/>
          <w:color w:val="7030A0"/>
          <w:lang w:val="es-ES" w:eastAsia="es-ES"/>
        </w:rPr>
      </w:pPr>
      <w:r w:rsidRPr="00277E26">
        <w:rPr>
          <w:rFonts w:ascii="Verdana" w:eastAsia="Calibri" w:hAnsi="Verdana" w:cs="Arial"/>
          <w:color w:val="000000" w:themeColor="text1"/>
          <w:lang w:val="es-ES" w:eastAsia="es-ES"/>
        </w:rPr>
        <w:t>En ejercicio de la competencia otorgada por los artículos 3, numeral 5º, y 11, numeral 8º, del Decreto Ley 4170 de 2011,</w:t>
      </w:r>
      <w:r w:rsidRPr="00277E26">
        <w:rPr>
          <w:rFonts w:ascii="Verdana" w:eastAsia="Arial MT" w:hAnsi="Verdana" w:cs="Arial MT"/>
          <w:lang w:val="es-ES" w:eastAsia="es-ES"/>
        </w:rPr>
        <w:t xml:space="preserve"> </w:t>
      </w:r>
      <w:r w:rsidRPr="00277E26">
        <w:rPr>
          <w:rFonts w:ascii="Verdana" w:hAnsi="Verdana" w:cs="Arial"/>
        </w:rPr>
        <w:t xml:space="preserve">así como lo establecido en el artículo 4 de la Resolución 1707 de 2018 expedida por esta Entidad, </w:t>
      </w:r>
      <w:r w:rsidRPr="00277E26">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277E26">
        <w:rPr>
          <w:rFonts w:ascii="Verdana" w:eastAsia="Calibri" w:hAnsi="Verdana" w:cs="Arial"/>
          <w:lang w:val="es-ES" w:eastAsia="es-ES"/>
        </w:rPr>
        <w:t xml:space="preserve">fecha </w:t>
      </w:r>
      <w:r>
        <w:rPr>
          <w:rFonts w:ascii="Verdana" w:eastAsia="Calibri" w:hAnsi="Verdana" w:cs="Arial"/>
          <w:lang w:val="es-ES" w:eastAsia="es-ES"/>
        </w:rPr>
        <w:t>18 de diciembre de 2024</w:t>
      </w:r>
      <w:r w:rsidRPr="00277E26">
        <w:rPr>
          <w:rFonts w:ascii="Verdana" w:eastAsia="Calibri" w:hAnsi="Verdana" w:cs="Arial"/>
          <w:lang w:val="es-ES" w:eastAsia="es-ES"/>
        </w:rPr>
        <w:t xml:space="preserve">, en la cual </w:t>
      </w:r>
      <w:r>
        <w:rPr>
          <w:rFonts w:ascii="Verdana" w:eastAsia="Calibri" w:hAnsi="Verdana" w:cs="Arial"/>
          <w:lang w:val="es-ES" w:eastAsia="es-ES"/>
        </w:rPr>
        <w:t>manifiesta lo siguiente</w:t>
      </w:r>
      <w:r w:rsidRPr="00277E26">
        <w:rPr>
          <w:rFonts w:ascii="Verdana" w:eastAsia="Calibri" w:hAnsi="Verdana" w:cs="Arial"/>
          <w:lang w:val="es-ES" w:eastAsia="es-ES"/>
        </w:rPr>
        <w:t xml:space="preserve">: </w:t>
      </w:r>
    </w:p>
    <w:p w14:paraId="1B1890DA" w14:textId="77777777" w:rsidR="00090B08" w:rsidRPr="00277E26" w:rsidRDefault="00090B08" w:rsidP="00090B08">
      <w:pPr>
        <w:pStyle w:val="Prrafodelista"/>
        <w:tabs>
          <w:tab w:val="left" w:pos="142"/>
          <w:tab w:val="left" w:pos="284"/>
        </w:tabs>
        <w:spacing w:after="0" w:line="276" w:lineRule="auto"/>
        <w:ind w:left="0"/>
        <w:jc w:val="both"/>
        <w:rPr>
          <w:rFonts w:ascii="Verdana" w:eastAsia="Century Gothic" w:hAnsi="Verdana" w:cs="Century Gothic"/>
          <w:b/>
          <w:bCs/>
        </w:rPr>
      </w:pPr>
    </w:p>
    <w:p w14:paraId="1879B558" w14:textId="77777777" w:rsidR="00090B08" w:rsidRPr="00497575" w:rsidRDefault="00090B08" w:rsidP="00090B08">
      <w:pPr>
        <w:spacing w:after="0"/>
        <w:ind w:left="709" w:right="709"/>
        <w:jc w:val="both"/>
        <w:rPr>
          <w:rFonts w:ascii="Verdana" w:eastAsia="Century Gothic" w:hAnsi="Verdana" w:cs="Century Gothic"/>
          <w:sz w:val="20"/>
          <w:szCs w:val="20"/>
          <w:lang w:val="es-ES"/>
        </w:rPr>
      </w:pPr>
      <w:bookmarkStart w:id="1" w:name="_Hlk95313578"/>
      <w:r w:rsidRPr="006040CE">
        <w:rPr>
          <w:rFonts w:ascii="Verdana" w:eastAsia="Century Gothic" w:hAnsi="Verdana" w:cs="Century Gothic"/>
          <w:sz w:val="21"/>
          <w:szCs w:val="21"/>
          <w:lang w:val="es-ES"/>
        </w:rPr>
        <w:t>“</w:t>
      </w:r>
      <w:bookmarkEnd w:id="1"/>
      <w:r w:rsidRPr="00F32974">
        <w:rPr>
          <w:rFonts w:ascii="Verdana" w:eastAsia="Century Gothic" w:hAnsi="Verdana" w:cs="Century Gothic"/>
          <w:sz w:val="21"/>
          <w:szCs w:val="21"/>
          <w:lang w:val="es-ES"/>
        </w:rPr>
        <w:t xml:space="preserve">En el marco de un proceso de contratación estatal, cuando se presenta una inhabilidad sobreviniente antes del perfeccionamiento del contrato, ¿es jurídicamente viable sanear dicha inhabilidad mediante </w:t>
      </w:r>
      <w:r w:rsidRPr="00F32974">
        <w:rPr>
          <w:rFonts w:ascii="Verdana" w:eastAsia="Century Gothic" w:hAnsi="Verdana" w:cs="Century Gothic"/>
          <w:sz w:val="21"/>
          <w:szCs w:val="21"/>
          <w:lang w:val="es-ES"/>
        </w:rPr>
        <w:lastRenderedPageBreak/>
        <w:t>la cesión de la posición contractual a un tercero habilitado? ¿O, por el contrario, esta situación necesariamente conduce a la aniquilación del vínculo contractual?</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102EA2A6" w14:textId="77777777" w:rsidR="00090B08" w:rsidRPr="00277E26" w:rsidRDefault="00090B08" w:rsidP="00090B08">
      <w:pPr>
        <w:spacing w:after="0" w:line="276" w:lineRule="auto"/>
        <w:jc w:val="both"/>
        <w:rPr>
          <w:rFonts w:ascii="Verdana" w:eastAsia="Calibri" w:hAnsi="Verdana" w:cs="Arial"/>
          <w:color w:val="000000"/>
          <w:lang w:val="es-ES" w:eastAsia="es-ES"/>
        </w:rPr>
      </w:pPr>
    </w:p>
    <w:p w14:paraId="68227E30" w14:textId="77777777" w:rsidR="00090B08" w:rsidRPr="00277E26" w:rsidRDefault="00090B08" w:rsidP="00090B08">
      <w:pPr>
        <w:spacing w:after="120" w:line="276" w:lineRule="auto"/>
        <w:ind w:firstLine="709"/>
        <w:jc w:val="both"/>
        <w:rPr>
          <w:rFonts w:ascii="Verdana" w:eastAsia="Calibri" w:hAnsi="Verdana" w:cs="Arial"/>
          <w:color w:val="000000"/>
          <w:lang w:val="es-ES" w:eastAsia="es-ES"/>
        </w:rPr>
      </w:pPr>
      <w:r w:rsidRPr="00277E26">
        <w:rPr>
          <w:rFonts w:ascii="Verdana" w:eastAsia="Calibri" w:hAnsi="Verdana" w:cs="Arial"/>
          <w:color w:val="000000"/>
          <w:lang w:val="es-ES" w:eastAsia="es-ES"/>
        </w:rPr>
        <w:t xml:space="preserve">De manera preliminar, resulta necesario acotar que esta entidad sólo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77E26">
        <w:rPr>
          <w:rFonts w:ascii="Verdana" w:eastAsia="Calibri" w:hAnsi="Verdana" w:cs="Arial"/>
          <w:color w:val="000000"/>
          <w:lang w:val="es-ES_tradnl" w:eastAsia="es-ES_tradnl"/>
        </w:rPr>
        <w:tab/>
      </w:r>
    </w:p>
    <w:p w14:paraId="0E4FE702" w14:textId="77777777" w:rsidR="00090B08" w:rsidRPr="00277E26" w:rsidRDefault="00090B08" w:rsidP="00090B08">
      <w:pPr>
        <w:spacing w:after="0" w:line="276" w:lineRule="auto"/>
        <w:ind w:firstLine="709"/>
        <w:jc w:val="both"/>
        <w:rPr>
          <w:rFonts w:ascii="Verdana" w:eastAsia="Calibri" w:hAnsi="Verdana" w:cs="Arial"/>
          <w:color w:val="000000"/>
          <w:lang w:val="es-ES" w:eastAsia="es-ES"/>
        </w:rPr>
      </w:pPr>
      <w:r w:rsidRPr="00277E26">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que la hayan motivado, pero haciendo unas consideraciones sobre las normas generales relacionadas con el</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problema</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jurídico</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 xml:space="preserve">de su consulta. </w:t>
      </w:r>
    </w:p>
    <w:p w14:paraId="2A5DFCF6" w14:textId="77777777" w:rsidR="00090B08" w:rsidRPr="00277E26" w:rsidRDefault="00090B08" w:rsidP="00090B08">
      <w:pPr>
        <w:spacing w:after="0" w:line="276" w:lineRule="auto"/>
        <w:ind w:firstLine="709"/>
        <w:jc w:val="both"/>
        <w:rPr>
          <w:rFonts w:ascii="Verdana" w:eastAsia="Calibri" w:hAnsi="Verdana" w:cs="Arial"/>
          <w:color w:val="000000"/>
          <w:lang w:val="es-ES" w:eastAsia="es-ES"/>
        </w:rPr>
      </w:pPr>
    </w:p>
    <w:p w14:paraId="72BE3CE9" w14:textId="77777777" w:rsidR="00090B08" w:rsidRPr="00277E26" w:rsidRDefault="00090B08" w:rsidP="00090B0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77E26">
        <w:rPr>
          <w:rFonts w:ascii="Verdana" w:eastAsia="Century Gothic" w:hAnsi="Verdana" w:cs="Century Gothic"/>
          <w:b/>
          <w:bCs/>
        </w:rPr>
        <w:t>Problema planteado:</w:t>
      </w:r>
    </w:p>
    <w:p w14:paraId="0733A4CB" w14:textId="77777777" w:rsidR="00090B08" w:rsidRPr="00277E26" w:rsidRDefault="00090B08" w:rsidP="00090B08">
      <w:pPr>
        <w:tabs>
          <w:tab w:val="left" w:pos="426"/>
        </w:tabs>
        <w:spacing w:after="0" w:line="276" w:lineRule="auto"/>
        <w:jc w:val="both"/>
        <w:rPr>
          <w:rFonts w:ascii="Verdana" w:eastAsia="Century Gothic" w:hAnsi="Verdana" w:cs="Century Gothic"/>
          <w:lang w:val="es-ES"/>
        </w:rPr>
      </w:pPr>
    </w:p>
    <w:p w14:paraId="6345B3D2" w14:textId="77777777" w:rsidR="00090B08" w:rsidRPr="00277E26" w:rsidRDefault="00090B08" w:rsidP="00090B08">
      <w:pPr>
        <w:spacing w:after="0" w:line="276" w:lineRule="auto"/>
        <w:jc w:val="both"/>
        <w:rPr>
          <w:rFonts w:ascii="Verdana" w:eastAsia="Century Gothic" w:hAnsi="Verdana" w:cs="Century Gothic"/>
        </w:rPr>
      </w:pPr>
      <w:r w:rsidRPr="00277E26">
        <w:rPr>
          <w:rFonts w:ascii="Verdana" w:eastAsia="Century Gothic" w:hAnsi="Verdana" w:cs="Century Gothic"/>
        </w:rPr>
        <w:t xml:space="preserve">De acuerdo con el contenido de su solicitud, esta Agencia resolverá el siguiente problema jurídico: ¿cuál </w:t>
      </w:r>
      <w:r>
        <w:rPr>
          <w:rFonts w:ascii="Verdana" w:eastAsia="Century Gothic" w:hAnsi="Verdana" w:cs="Century Gothic"/>
        </w:rPr>
        <w:t>es el régimen de las inhabilidades sobrevinientes en los procesos de contratación</w:t>
      </w:r>
      <w:r w:rsidRPr="00277E26">
        <w:rPr>
          <w:rFonts w:ascii="Verdana" w:eastAsia="Century Gothic" w:hAnsi="Verdana" w:cs="Century Gothic"/>
        </w:rPr>
        <w:t xml:space="preserve">? </w:t>
      </w:r>
      <w:r w:rsidRPr="00277E26">
        <w:rPr>
          <w:rFonts w:ascii="Verdana" w:eastAsia="Century Gothic" w:hAnsi="Verdana" w:cs="Century Gothic"/>
          <w:color w:val="7030A0"/>
        </w:rPr>
        <w:t xml:space="preserve"> </w:t>
      </w:r>
    </w:p>
    <w:p w14:paraId="04106259" w14:textId="77777777" w:rsidR="00090B08" w:rsidRPr="00277E26" w:rsidRDefault="00090B08" w:rsidP="00090B08">
      <w:pPr>
        <w:spacing w:after="0" w:line="276" w:lineRule="auto"/>
        <w:jc w:val="both"/>
        <w:rPr>
          <w:rFonts w:ascii="Verdana" w:eastAsia="Calibri" w:hAnsi="Verdana" w:cs="Arial"/>
          <w:color w:val="7030A0"/>
        </w:rPr>
      </w:pPr>
    </w:p>
    <w:p w14:paraId="0399A8C2" w14:textId="77777777" w:rsidR="00090B08" w:rsidRPr="00277E26" w:rsidRDefault="00090B08" w:rsidP="00090B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Respuesta:</w:t>
      </w:r>
    </w:p>
    <w:p w14:paraId="38EBC556" w14:textId="77777777" w:rsidR="00090B08" w:rsidRPr="00277E26" w:rsidRDefault="00090B08" w:rsidP="00090B0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90B08" w:rsidRPr="00593A5F" w14:paraId="16F3DF78" w14:textId="77777777" w:rsidTr="00D23249">
        <w:trPr>
          <w:jc w:val="center"/>
        </w:trPr>
        <w:tc>
          <w:tcPr>
            <w:tcW w:w="8828" w:type="dxa"/>
            <w:shd w:val="clear" w:color="auto" w:fill="auto"/>
          </w:tcPr>
          <w:p w14:paraId="47FE4A2F" w14:textId="77777777" w:rsidR="00090B08" w:rsidRDefault="00090B08" w:rsidP="00090B08">
            <w:pPr>
              <w:spacing w:after="120" w:line="276" w:lineRule="auto"/>
              <w:jc w:val="both"/>
              <w:rPr>
                <w:rFonts w:ascii="Verdana" w:hAnsi="Verdana" w:cs="Arial"/>
                <w:color w:val="000000" w:themeColor="text1"/>
              </w:rPr>
            </w:pPr>
            <w:bookmarkStart w:id="2" w:name="_Hlk171694685"/>
            <w:r>
              <w:rPr>
                <w:rFonts w:ascii="Verdana" w:hAnsi="Verdana" w:cs="Arial"/>
                <w:color w:val="000000" w:themeColor="text1"/>
              </w:rPr>
              <w:t xml:space="preserve">Conforme a la interpretación general de las normas del sistema de compras públicas, si las inhabilidades o incompatibilidades tienen carácter sobreviniente, es necesario tener en cuenta que el ordenamiento jurídico trata de manera distinta al oferente, al adjudicatario y al contratista. </w:t>
            </w:r>
            <w:r w:rsidRPr="006437AB">
              <w:rPr>
                <w:rFonts w:ascii="Verdana" w:hAnsi="Verdana" w:cs="Arial"/>
                <w:i/>
                <w:iCs/>
                <w:color w:val="000000" w:themeColor="text1"/>
              </w:rPr>
              <w:t>Respecto al ofer</w:t>
            </w:r>
            <w:r>
              <w:rPr>
                <w:rFonts w:ascii="Verdana" w:hAnsi="Verdana" w:cs="Arial"/>
                <w:i/>
                <w:iCs/>
                <w:color w:val="000000" w:themeColor="text1"/>
              </w:rPr>
              <w:t>en</w:t>
            </w:r>
            <w:r w:rsidRPr="006437AB">
              <w:rPr>
                <w:rFonts w:ascii="Verdana" w:hAnsi="Verdana" w:cs="Arial"/>
                <w:i/>
                <w:iCs/>
                <w:color w:val="000000" w:themeColor="text1"/>
              </w:rPr>
              <w:t>te</w:t>
            </w:r>
            <w:r>
              <w:rPr>
                <w:rFonts w:ascii="Verdana" w:hAnsi="Verdana" w:cs="Arial"/>
                <w:color w:val="000000" w:themeColor="text1"/>
              </w:rPr>
              <w:t>, el inciso segundo del artículo 9 de la Ley 80 de 1993 dispone que “</w:t>
            </w:r>
            <w:r w:rsidRPr="006437AB">
              <w:rPr>
                <w:rFonts w:ascii="Verdana" w:hAnsi="Verdana" w:cs="Arial"/>
                <w:color w:val="000000" w:themeColor="text1"/>
              </w:rPr>
              <w:t xml:space="preserve">Cuando la inhabilidad o incompatibilidad sobrevenga en un proponente dentro de un proceso de selección, se entenderá que renuncia a la participación en el </w:t>
            </w:r>
            <w:r w:rsidRPr="006437AB">
              <w:rPr>
                <w:rFonts w:ascii="Verdana" w:hAnsi="Verdana" w:cs="Arial"/>
                <w:color w:val="000000" w:themeColor="text1"/>
              </w:rPr>
              <w:lastRenderedPageBreak/>
              <w:t>proceso de selección y a los derechos surgidos del mismo</w:t>
            </w:r>
            <w:r>
              <w:rPr>
                <w:rFonts w:ascii="Verdana" w:hAnsi="Verdana" w:cs="Arial"/>
                <w:color w:val="000000" w:themeColor="text1"/>
              </w:rPr>
              <w:t>”</w:t>
            </w:r>
            <w:r w:rsidRPr="006437AB">
              <w:rPr>
                <w:rFonts w:ascii="Verdana" w:hAnsi="Verdana" w:cs="Arial"/>
                <w:color w:val="000000" w:themeColor="text1"/>
              </w:rPr>
              <w:t>.</w:t>
            </w:r>
            <w:r>
              <w:rPr>
                <w:rFonts w:ascii="Verdana" w:hAnsi="Verdana" w:cs="Arial"/>
                <w:color w:val="000000" w:themeColor="text1"/>
              </w:rPr>
              <w:t xml:space="preserve"> </w:t>
            </w:r>
            <w:r w:rsidRPr="00102540">
              <w:rPr>
                <w:rFonts w:ascii="Verdana" w:hAnsi="Verdana" w:cs="Arial"/>
                <w:i/>
                <w:iCs/>
                <w:color w:val="000000" w:themeColor="text1"/>
              </w:rPr>
              <w:t>Respecto al adjudicatario</w:t>
            </w:r>
            <w:r>
              <w:rPr>
                <w:rFonts w:ascii="Verdana" w:hAnsi="Verdana" w:cs="Arial"/>
                <w:color w:val="000000" w:themeColor="text1"/>
              </w:rPr>
              <w:t xml:space="preserve">, el inciso 3 del artículo 9 de la Ley 1150 de 2007 prescribe lo siguiente: “[…] </w:t>
            </w:r>
            <w:r w:rsidRPr="00102540">
              <w:rPr>
                <w:rFonts w:ascii="Verdana" w:hAnsi="Verdana" w:cs="Arial"/>
                <w:color w:val="000000" w:themeColor="text1"/>
              </w:rPr>
              <w:t xml:space="preserve">si dentro del plazo comprendido entre la adjudicación del contrato y la suscripción del mismo, sobreviene una inhabilidad o incompatibilidad </w:t>
            </w:r>
            <w:r>
              <w:rPr>
                <w:rFonts w:ascii="Verdana" w:hAnsi="Verdana" w:cs="Arial"/>
                <w:color w:val="000000" w:themeColor="text1"/>
              </w:rPr>
              <w:t>[…]</w:t>
            </w:r>
            <w:r w:rsidRPr="00102540">
              <w:rPr>
                <w:rFonts w:ascii="Verdana" w:hAnsi="Verdana" w:cs="Arial"/>
                <w:color w:val="000000" w:themeColor="text1"/>
              </w:rPr>
              <w:t xml:space="preserve"> este podrá ser revocado</w:t>
            </w:r>
            <w:r>
              <w:rPr>
                <w:rFonts w:ascii="Verdana" w:hAnsi="Verdana" w:cs="Arial"/>
                <w:color w:val="000000" w:themeColor="text1"/>
              </w:rPr>
              <w:t xml:space="preserve"> […]”.</w:t>
            </w:r>
          </w:p>
          <w:p w14:paraId="0170D408" w14:textId="77777777" w:rsidR="00090B08" w:rsidRDefault="00090B08" w:rsidP="00090B08">
            <w:pPr>
              <w:spacing w:after="120" w:line="276" w:lineRule="auto"/>
              <w:ind w:firstLine="708"/>
              <w:jc w:val="both"/>
              <w:rPr>
                <w:rFonts w:ascii="Verdana" w:hAnsi="Verdana" w:cs="Arial"/>
                <w:color w:val="000000" w:themeColor="text1"/>
              </w:rPr>
            </w:pPr>
            <w:r>
              <w:rPr>
                <w:rFonts w:ascii="Verdana" w:hAnsi="Verdana" w:cs="Arial"/>
                <w:color w:val="000000" w:themeColor="text1"/>
              </w:rPr>
              <w:t>Sólo con el cumplimiento de los requisitos de los artículos 39 y 41 del Estatuto General de Contratación Pública existe el contrato estatal, de manera que tienen carácter solemne</w:t>
            </w:r>
            <w:r w:rsidRPr="00102540">
              <w:rPr>
                <w:rFonts w:ascii="Verdana" w:hAnsi="Verdana" w:cs="Arial"/>
                <w:color w:val="000000" w:themeColor="text1"/>
              </w:rPr>
              <w:t xml:space="preserve"> y, por tanto, requieren formalidad escrita</w:t>
            </w:r>
            <w:r>
              <w:rPr>
                <w:rFonts w:ascii="Verdana" w:hAnsi="Verdana" w:cs="Arial"/>
                <w:color w:val="000000" w:themeColor="text1"/>
              </w:rPr>
              <w:t xml:space="preserve">. Por ello, </w:t>
            </w:r>
            <w:r w:rsidRPr="00F87C06">
              <w:rPr>
                <w:rFonts w:ascii="Verdana" w:hAnsi="Verdana" w:cs="Arial"/>
                <w:i/>
                <w:iCs/>
                <w:color w:val="000000" w:themeColor="text1"/>
              </w:rPr>
              <w:t>respecto al contratista</w:t>
            </w:r>
            <w:r>
              <w:rPr>
                <w:rFonts w:ascii="Verdana" w:hAnsi="Verdana" w:cs="Arial"/>
                <w:color w:val="000000" w:themeColor="text1"/>
              </w:rPr>
              <w:t>, el inciso primero del artículo 9 de la Ley 80 de 1993 dispone que “</w:t>
            </w:r>
            <w:r w:rsidRPr="00F87C06">
              <w:rPr>
                <w:rFonts w:ascii="Verdana" w:hAnsi="Verdana" w:cs="Arial"/>
                <w:color w:val="000000" w:themeColor="text1"/>
              </w:rPr>
              <w:t>Si llegare a sobrevenir inhabilidad o incompatibilidad en el contratista, este cederá el contrato previa autorización escrita de la entidad contratante o, si ello no fuere posible, renunciará a su ejecución</w:t>
            </w:r>
            <w:r>
              <w:rPr>
                <w:rFonts w:ascii="Verdana" w:hAnsi="Verdana" w:cs="Arial"/>
                <w:color w:val="000000" w:themeColor="text1"/>
              </w:rPr>
              <w:t xml:space="preserve">”. El inciso tercero </w:t>
            </w:r>
            <w:r w:rsidRPr="00F87C06">
              <w:rPr>
                <w:rFonts w:ascii="Verdana" w:hAnsi="Verdana" w:cs="Arial"/>
                <w:i/>
                <w:iCs/>
                <w:color w:val="000000" w:themeColor="text1"/>
              </w:rPr>
              <w:t>ibidem</w:t>
            </w:r>
            <w:r>
              <w:rPr>
                <w:rFonts w:ascii="Verdana" w:hAnsi="Verdana" w:cs="Arial"/>
                <w:color w:val="000000" w:themeColor="text1"/>
              </w:rPr>
              <w:t xml:space="preserve"> agrega lo siguiente: “</w:t>
            </w:r>
            <w:r w:rsidRPr="00F87C06">
              <w:rPr>
                <w:rFonts w:ascii="Verdana" w:hAnsi="Verdana" w:cs="Arial"/>
                <w:color w:val="000000" w:themeColor="text1"/>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r>
              <w:rPr>
                <w:rFonts w:ascii="Verdana" w:hAnsi="Verdana" w:cs="Arial"/>
                <w:color w:val="000000" w:themeColor="text1"/>
              </w:rPr>
              <w:t>”</w:t>
            </w:r>
            <w:r w:rsidRPr="00F87C06">
              <w:rPr>
                <w:rFonts w:ascii="Verdana" w:hAnsi="Verdana" w:cs="Arial"/>
                <w:color w:val="000000" w:themeColor="text1"/>
              </w:rPr>
              <w:t>.</w:t>
            </w:r>
            <w:r>
              <w:rPr>
                <w:rFonts w:ascii="Verdana" w:hAnsi="Verdana" w:cs="Arial"/>
                <w:color w:val="000000" w:themeColor="text1"/>
              </w:rPr>
              <w:t xml:space="preserve">   </w:t>
            </w:r>
          </w:p>
          <w:p w14:paraId="6082DA0C" w14:textId="77777777" w:rsidR="00090B08" w:rsidRPr="00B42F75" w:rsidRDefault="00090B08" w:rsidP="00090B08">
            <w:pPr>
              <w:pStyle w:val="NormalWeb"/>
              <w:spacing w:before="0" w:beforeAutospacing="0" w:after="0" w:afterAutospacing="0" w:line="276" w:lineRule="auto"/>
              <w:ind w:firstLine="709"/>
              <w:jc w:val="both"/>
              <w:rPr>
                <w:rFonts w:ascii="Verdana" w:eastAsia="Century Gothic" w:hAnsi="Verdana" w:cs="Century Gothic"/>
                <w:sz w:val="22"/>
                <w:szCs w:val="22"/>
                <w:lang w:val="es-ES"/>
              </w:rPr>
            </w:pPr>
            <w:r>
              <w:rPr>
                <w:rFonts w:ascii="Verdana" w:hAnsi="Verdana" w:cs="Arial"/>
                <w:color w:val="000000" w:themeColor="text1"/>
                <w:sz w:val="22"/>
                <w:szCs w:val="22"/>
              </w:rPr>
              <w:t xml:space="preserve">En este contexto, durante la fase de selección, los </w:t>
            </w:r>
            <w:r w:rsidRPr="00F87C06">
              <w:rPr>
                <w:rFonts w:ascii="Verdana" w:hAnsi="Verdana" w:cs="Arial"/>
                <w:i/>
                <w:iCs/>
                <w:color w:val="000000" w:themeColor="text1"/>
                <w:sz w:val="22"/>
                <w:szCs w:val="22"/>
              </w:rPr>
              <w:t>oferentes</w:t>
            </w:r>
            <w:r>
              <w:rPr>
                <w:rFonts w:ascii="Verdana" w:hAnsi="Verdana" w:cs="Arial"/>
                <w:color w:val="000000" w:themeColor="text1"/>
                <w:sz w:val="22"/>
                <w:szCs w:val="22"/>
              </w:rPr>
              <w:t xml:space="preserve"> y </w:t>
            </w:r>
            <w:r w:rsidRPr="00F87C06">
              <w:rPr>
                <w:rFonts w:ascii="Verdana" w:hAnsi="Verdana" w:cs="Arial"/>
                <w:i/>
                <w:iCs/>
                <w:color w:val="000000" w:themeColor="text1"/>
                <w:sz w:val="22"/>
                <w:szCs w:val="22"/>
              </w:rPr>
              <w:t>adjudicatarios</w:t>
            </w:r>
            <w:r>
              <w:rPr>
                <w:rFonts w:ascii="Verdana" w:hAnsi="Verdana" w:cs="Arial"/>
                <w:color w:val="000000" w:themeColor="text1"/>
                <w:sz w:val="22"/>
                <w:szCs w:val="22"/>
              </w:rPr>
              <w:t xml:space="preserve"> carecen de la posibilidad de ceder contratos por sustracción de materia, siendo los efectos de la inhabilidad sobreviniente las consecuencias descritas </w:t>
            </w:r>
            <w:r w:rsidRPr="005366FC">
              <w:rPr>
                <w:rFonts w:ascii="Verdana" w:hAnsi="Verdana" w:cs="Arial"/>
                <w:i/>
                <w:iCs/>
                <w:color w:val="000000" w:themeColor="text1"/>
                <w:sz w:val="22"/>
                <w:szCs w:val="22"/>
              </w:rPr>
              <w:t>ut supra</w:t>
            </w:r>
            <w:r>
              <w:rPr>
                <w:rFonts w:ascii="Verdana" w:hAnsi="Verdana" w:cs="Arial"/>
                <w:color w:val="000000" w:themeColor="text1"/>
                <w:sz w:val="22"/>
                <w:szCs w:val="22"/>
              </w:rPr>
              <w:t>. La cesión es una institución jurídica propia de la etapa contractual, por lo que sólo pueden cederse los contratos estatales que se encuentren perfeccionados y no estén liquidados, para los que la requieran, o no se hayan extinguido las obligaciones entre las partes, para aquellos negocios que no la requieran.</w:t>
            </w:r>
          </w:p>
        </w:tc>
      </w:tr>
    </w:tbl>
    <w:p w14:paraId="24D0CD1F" w14:textId="77777777" w:rsidR="00090B08" w:rsidRPr="00277E26" w:rsidRDefault="00090B08" w:rsidP="00090B08">
      <w:pPr>
        <w:tabs>
          <w:tab w:val="left" w:pos="142"/>
          <w:tab w:val="left" w:pos="284"/>
        </w:tabs>
        <w:spacing w:after="0" w:line="276" w:lineRule="auto"/>
        <w:jc w:val="both"/>
        <w:rPr>
          <w:rFonts w:ascii="Verdana" w:eastAsia="Century Gothic" w:hAnsi="Verdana" w:cs="Century Gothic"/>
          <w:b/>
          <w:bCs/>
          <w:lang w:val="es-ES"/>
        </w:rPr>
      </w:pPr>
    </w:p>
    <w:bookmarkEnd w:id="2"/>
    <w:p w14:paraId="7959DF85" w14:textId="77777777" w:rsidR="00090B08" w:rsidRPr="00277E26" w:rsidRDefault="00090B08" w:rsidP="00090B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Razones de la respuesta:</w:t>
      </w:r>
    </w:p>
    <w:p w14:paraId="07E0F98A" w14:textId="77777777" w:rsidR="00090B08" w:rsidRPr="00277E26" w:rsidRDefault="00090B08" w:rsidP="00090B08">
      <w:pPr>
        <w:spacing w:after="0" w:line="276" w:lineRule="auto"/>
        <w:jc w:val="both"/>
        <w:rPr>
          <w:rFonts w:ascii="Verdana" w:eastAsia="Calibri" w:hAnsi="Verdana" w:cs="Arial"/>
          <w:color w:val="7030A0"/>
          <w:lang w:val="es-ES"/>
        </w:rPr>
      </w:pPr>
    </w:p>
    <w:p w14:paraId="5CD1DF4C" w14:textId="77777777" w:rsidR="00090B08" w:rsidRPr="00277E26" w:rsidRDefault="00090B08" w:rsidP="00090B08">
      <w:pPr>
        <w:spacing w:after="0" w:line="276" w:lineRule="auto"/>
        <w:jc w:val="both"/>
        <w:rPr>
          <w:rFonts w:ascii="Verdana" w:eastAsia="Calibri" w:hAnsi="Verdana" w:cs="Arial"/>
          <w:lang w:val="es-ES"/>
        </w:rPr>
      </w:pPr>
      <w:r w:rsidRPr="00277E26">
        <w:rPr>
          <w:rFonts w:ascii="Verdana" w:eastAsia="Calibri" w:hAnsi="Verdana" w:cs="Arial"/>
          <w:lang w:val="es-ES"/>
        </w:rPr>
        <w:t>Lo anterior se sustenta en las siguientes consideraciones:</w:t>
      </w:r>
    </w:p>
    <w:p w14:paraId="7A706157" w14:textId="77777777" w:rsidR="00090B08" w:rsidRPr="002E58FC" w:rsidRDefault="00090B08" w:rsidP="00090B08">
      <w:pPr>
        <w:spacing w:after="0" w:line="276" w:lineRule="auto"/>
        <w:jc w:val="both"/>
        <w:rPr>
          <w:rFonts w:ascii="Verdana" w:eastAsia="Calibri" w:hAnsi="Verdana" w:cs="Arial"/>
          <w:lang w:val="es-ES"/>
        </w:rPr>
      </w:pPr>
    </w:p>
    <w:p w14:paraId="445334AD" w14:textId="77777777" w:rsidR="00090B08" w:rsidRPr="00E96901" w:rsidRDefault="00090B08" w:rsidP="00090B08">
      <w:pPr>
        <w:pStyle w:val="Sinespaciado"/>
        <w:spacing w:after="120" w:line="276" w:lineRule="auto"/>
        <w:jc w:val="both"/>
        <w:rPr>
          <w:rFonts w:ascii="Verdana" w:hAnsi="Verdana" w:cs="Arial"/>
          <w:sz w:val="22"/>
        </w:rPr>
      </w:pPr>
      <w:r w:rsidRPr="00E96901">
        <w:rPr>
          <w:rFonts w:ascii="Verdana" w:hAnsi="Verdana"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718A43E" w14:textId="77777777" w:rsidR="00090B08" w:rsidRPr="00E96901" w:rsidRDefault="00090B08" w:rsidP="00090B08">
      <w:pPr>
        <w:spacing w:after="120" w:line="276" w:lineRule="auto"/>
        <w:ind w:firstLine="709"/>
        <w:jc w:val="both"/>
        <w:rPr>
          <w:rFonts w:ascii="Verdana" w:hAnsi="Verdana" w:cs="Arial"/>
        </w:rPr>
      </w:pPr>
      <w:r w:rsidRPr="00E96901">
        <w:rPr>
          <w:rFonts w:ascii="Verdana" w:hAnsi="Verdana" w:cs="Arial"/>
        </w:rPr>
        <w:lastRenderedPageBreak/>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E96901">
        <w:rPr>
          <w:rStyle w:val="Refdenotaalpie"/>
          <w:rFonts w:ascii="Verdana" w:hAnsi="Verdana" w:cs="Arial"/>
        </w:rPr>
        <w:footnoteReference w:id="2"/>
      </w:r>
      <w:r w:rsidRPr="00E96901">
        <w:rPr>
          <w:rFonts w:ascii="Verdana" w:hAnsi="Verdana" w:cs="Arial"/>
        </w:rPr>
        <w:t>.</w:t>
      </w:r>
    </w:p>
    <w:p w14:paraId="1761BEBC" w14:textId="77777777" w:rsidR="00090B08" w:rsidRPr="00E96901" w:rsidRDefault="00090B08" w:rsidP="00090B08">
      <w:pPr>
        <w:pStyle w:val="Sinespaciado"/>
        <w:spacing w:line="276" w:lineRule="auto"/>
        <w:ind w:firstLine="709"/>
        <w:jc w:val="both"/>
        <w:rPr>
          <w:rFonts w:ascii="Verdana" w:hAnsi="Verdana" w:cs="Arial"/>
          <w:sz w:val="22"/>
        </w:rPr>
      </w:pPr>
      <w:r w:rsidRPr="00E96901">
        <w:rPr>
          <w:rFonts w:ascii="Verdana" w:hAnsi="Verdana"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BDEEE78" w14:textId="77777777" w:rsidR="00090B08" w:rsidRPr="00E96901" w:rsidRDefault="00090B08" w:rsidP="00090B08">
      <w:pPr>
        <w:pStyle w:val="Sinespaciado"/>
        <w:spacing w:line="276" w:lineRule="auto"/>
        <w:jc w:val="both"/>
        <w:rPr>
          <w:rFonts w:ascii="Verdana" w:hAnsi="Verdana" w:cs="Arial"/>
          <w:sz w:val="22"/>
        </w:rPr>
      </w:pPr>
    </w:p>
    <w:p w14:paraId="526F1F99" w14:textId="77777777" w:rsidR="00090B08" w:rsidRPr="00E96901" w:rsidRDefault="00090B08" w:rsidP="00090B08">
      <w:pPr>
        <w:pStyle w:val="NormalWeb"/>
        <w:shd w:val="clear" w:color="auto" w:fill="FFFFFF"/>
        <w:spacing w:before="0" w:beforeAutospacing="0" w:after="0" w:afterAutospacing="0"/>
        <w:ind w:left="709" w:right="709"/>
        <w:jc w:val="both"/>
        <w:rPr>
          <w:rFonts w:ascii="Verdana" w:hAnsi="Verdana" w:cs="Arial"/>
          <w:sz w:val="21"/>
          <w:szCs w:val="21"/>
          <w:lang w:val="es-ES"/>
        </w:rPr>
      </w:pPr>
      <w:r w:rsidRPr="00E96901">
        <w:rPr>
          <w:rFonts w:ascii="Verdana" w:hAnsi="Verdana"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C1C1EA8" w14:textId="77777777" w:rsidR="00090B08" w:rsidRPr="00E96901" w:rsidRDefault="00090B08" w:rsidP="00090B08">
      <w:pPr>
        <w:pStyle w:val="NormalWeb"/>
        <w:shd w:val="clear" w:color="auto" w:fill="FFFFFF"/>
        <w:spacing w:before="0" w:beforeAutospacing="0" w:after="0" w:afterAutospacing="0"/>
        <w:ind w:left="709" w:right="709"/>
        <w:jc w:val="both"/>
        <w:rPr>
          <w:rFonts w:ascii="Verdana" w:hAnsi="Verdana" w:cs="Arial"/>
          <w:sz w:val="21"/>
          <w:szCs w:val="21"/>
          <w:lang w:val="es-ES"/>
        </w:rPr>
      </w:pPr>
      <w:r w:rsidRPr="00E96901">
        <w:rPr>
          <w:rFonts w:ascii="Verdana" w:hAnsi="Verdana"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E96901">
        <w:rPr>
          <w:rStyle w:val="Refdenotaalpie"/>
          <w:rFonts w:ascii="Verdana" w:hAnsi="Verdana" w:cs="Arial"/>
          <w:sz w:val="21"/>
          <w:szCs w:val="21"/>
          <w:lang w:val="es-ES"/>
        </w:rPr>
        <w:footnoteReference w:id="3"/>
      </w:r>
      <w:r w:rsidRPr="00E96901">
        <w:rPr>
          <w:rFonts w:ascii="Verdana" w:hAnsi="Verdana" w:cs="Arial"/>
          <w:sz w:val="21"/>
          <w:szCs w:val="21"/>
          <w:lang w:val="es-ES"/>
        </w:rPr>
        <w:t>.</w:t>
      </w:r>
    </w:p>
    <w:p w14:paraId="2DD0BFFD" w14:textId="77777777" w:rsidR="00090B08" w:rsidRPr="00E96901" w:rsidRDefault="00090B08" w:rsidP="00090B08">
      <w:pPr>
        <w:pStyle w:val="NormalWeb"/>
        <w:shd w:val="clear" w:color="auto" w:fill="FFFFFF"/>
        <w:spacing w:before="0" w:beforeAutospacing="0" w:after="0" w:afterAutospacing="0" w:line="276" w:lineRule="auto"/>
        <w:ind w:left="709" w:right="709"/>
        <w:jc w:val="both"/>
        <w:rPr>
          <w:rFonts w:ascii="Verdana" w:hAnsi="Verdana" w:cs="Arial"/>
          <w:sz w:val="22"/>
          <w:szCs w:val="22"/>
          <w:lang w:val="es-ES"/>
        </w:rPr>
      </w:pPr>
    </w:p>
    <w:p w14:paraId="3C622626" w14:textId="77777777" w:rsidR="00090B08" w:rsidRPr="00E96901" w:rsidRDefault="00090B08" w:rsidP="00090B08">
      <w:pPr>
        <w:pStyle w:val="Sinespaciado"/>
        <w:spacing w:line="276" w:lineRule="auto"/>
        <w:ind w:firstLine="709"/>
        <w:jc w:val="both"/>
        <w:rPr>
          <w:rFonts w:ascii="Verdana" w:hAnsi="Verdana" w:cs="Arial"/>
          <w:sz w:val="22"/>
        </w:rPr>
      </w:pPr>
      <w:r w:rsidRPr="00E96901">
        <w:rPr>
          <w:rFonts w:ascii="Verdana" w:hAnsi="Verdana"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1C5E6675" w14:textId="77777777" w:rsidR="00090B08" w:rsidRPr="00E96901" w:rsidRDefault="00090B08" w:rsidP="00090B08">
      <w:pPr>
        <w:pStyle w:val="Sinespaciado"/>
        <w:spacing w:line="276" w:lineRule="auto"/>
        <w:ind w:firstLine="709"/>
        <w:jc w:val="both"/>
        <w:rPr>
          <w:rFonts w:ascii="Verdana" w:hAnsi="Verdana" w:cs="Arial"/>
          <w:sz w:val="22"/>
        </w:rPr>
      </w:pPr>
    </w:p>
    <w:p w14:paraId="6C8D6A7F" w14:textId="77777777" w:rsidR="00090B08" w:rsidRPr="00E96901" w:rsidRDefault="00090B08" w:rsidP="009C01A6">
      <w:pPr>
        <w:spacing w:after="120" w:line="240" w:lineRule="auto"/>
        <w:ind w:left="709" w:right="709"/>
        <w:jc w:val="both"/>
        <w:rPr>
          <w:rFonts w:ascii="Verdana" w:hAnsi="Verdana" w:cs="Arial"/>
          <w:sz w:val="21"/>
          <w:szCs w:val="21"/>
        </w:rPr>
      </w:pPr>
      <w:r w:rsidRPr="00E96901">
        <w:rPr>
          <w:rFonts w:ascii="Verdana" w:hAnsi="Verdana"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083B7BBB" w14:textId="77777777" w:rsidR="00090B08" w:rsidRPr="00E96901" w:rsidRDefault="00090B08" w:rsidP="009C01A6">
      <w:pPr>
        <w:spacing w:after="0" w:line="240" w:lineRule="auto"/>
        <w:ind w:left="709" w:right="709"/>
        <w:jc w:val="both"/>
        <w:rPr>
          <w:rFonts w:ascii="Verdana" w:hAnsi="Verdana" w:cs="Arial"/>
          <w:sz w:val="21"/>
          <w:szCs w:val="21"/>
        </w:rPr>
      </w:pPr>
      <w:r w:rsidRPr="00E96901">
        <w:rPr>
          <w:rFonts w:ascii="Verdana" w:hAnsi="Verdana"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E96901">
        <w:rPr>
          <w:rStyle w:val="Refdenotaalpie"/>
          <w:rFonts w:ascii="Verdana" w:hAnsi="Verdana" w:cs="Arial"/>
          <w:sz w:val="21"/>
          <w:szCs w:val="21"/>
        </w:rPr>
        <w:footnoteReference w:id="4"/>
      </w:r>
      <w:r w:rsidRPr="00E96901">
        <w:rPr>
          <w:rFonts w:ascii="Verdana" w:hAnsi="Verdana" w:cs="Arial"/>
          <w:sz w:val="21"/>
          <w:szCs w:val="21"/>
        </w:rPr>
        <w:t>.</w:t>
      </w:r>
    </w:p>
    <w:p w14:paraId="6D06767E" w14:textId="77777777" w:rsidR="00090B08" w:rsidRPr="00E96901" w:rsidRDefault="00090B08" w:rsidP="00090B08">
      <w:pPr>
        <w:spacing w:after="0" w:line="276" w:lineRule="auto"/>
        <w:ind w:right="709"/>
        <w:jc w:val="both"/>
        <w:rPr>
          <w:rFonts w:ascii="Verdana" w:hAnsi="Verdana" w:cs="Arial"/>
        </w:rPr>
      </w:pPr>
    </w:p>
    <w:p w14:paraId="2BFCBD81" w14:textId="77777777" w:rsidR="00090B08" w:rsidRPr="00E96901" w:rsidRDefault="00090B08" w:rsidP="00090B08">
      <w:pPr>
        <w:spacing w:after="0" w:line="276" w:lineRule="auto"/>
        <w:ind w:firstLine="709"/>
        <w:jc w:val="both"/>
        <w:rPr>
          <w:rFonts w:ascii="Verdana" w:hAnsi="Verdana" w:cs="Arial"/>
        </w:rPr>
      </w:pPr>
      <w:r w:rsidRPr="00E96901">
        <w:rPr>
          <w:rFonts w:ascii="Verdana" w:hAnsi="Verdana"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19FECFEA" w14:textId="77777777" w:rsidR="00090B08" w:rsidRPr="00E96901" w:rsidRDefault="00090B08" w:rsidP="00090B08">
      <w:pPr>
        <w:pStyle w:val="Sinespaciado"/>
        <w:tabs>
          <w:tab w:val="left" w:pos="1532"/>
        </w:tabs>
        <w:spacing w:line="276" w:lineRule="auto"/>
        <w:jc w:val="both"/>
        <w:rPr>
          <w:rFonts w:ascii="Verdana" w:hAnsi="Verdana" w:cs="Arial"/>
          <w:sz w:val="22"/>
        </w:rPr>
      </w:pPr>
    </w:p>
    <w:p w14:paraId="5F7AF383" w14:textId="77777777" w:rsidR="00090B08" w:rsidRPr="00E96901" w:rsidRDefault="00090B08" w:rsidP="009C01A6">
      <w:pPr>
        <w:spacing w:after="0" w:line="240" w:lineRule="auto"/>
        <w:ind w:left="709" w:right="709"/>
        <w:jc w:val="both"/>
        <w:rPr>
          <w:rFonts w:ascii="Verdana" w:hAnsi="Verdana" w:cs="Arial"/>
          <w:sz w:val="21"/>
          <w:szCs w:val="21"/>
        </w:rPr>
      </w:pPr>
      <w:r w:rsidRPr="00E96901">
        <w:rPr>
          <w:rFonts w:ascii="Verdana" w:hAnsi="Verdana"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E96901">
        <w:rPr>
          <w:rFonts w:ascii="Verdana" w:hAnsi="Verdana" w:cs="Arial"/>
          <w:i/>
          <w:iCs/>
          <w:sz w:val="21"/>
          <w:szCs w:val="21"/>
        </w:rPr>
        <w:t xml:space="preserve">pro </w:t>
      </w:r>
      <w:proofErr w:type="spellStart"/>
      <w:r w:rsidRPr="00E96901">
        <w:rPr>
          <w:rFonts w:ascii="Verdana" w:hAnsi="Verdana" w:cs="Arial"/>
          <w:i/>
          <w:iCs/>
          <w:sz w:val="21"/>
          <w:szCs w:val="21"/>
        </w:rPr>
        <w:t>libertate</w:t>
      </w:r>
      <w:proofErr w:type="spellEnd"/>
      <w:r w:rsidRPr="00E96901">
        <w:rPr>
          <w:rFonts w:ascii="Verdana" w:hAnsi="Verdana" w:cs="Arial"/>
          <w:sz w:val="21"/>
          <w:szCs w:val="21"/>
        </w:rPr>
        <w:t xml:space="preserve">, sino el de legalidad, el que ordena que la función pública debe someterse estrictamente a lo que disponga la Constitución y la ley (CP art. 6). </w:t>
      </w:r>
    </w:p>
    <w:p w14:paraId="0ADCC894" w14:textId="77777777" w:rsidR="00090B08" w:rsidRPr="00E96901" w:rsidRDefault="00090B08" w:rsidP="009C01A6">
      <w:pPr>
        <w:spacing w:after="120" w:line="240" w:lineRule="auto"/>
        <w:ind w:left="709" w:right="709"/>
        <w:jc w:val="both"/>
        <w:rPr>
          <w:rFonts w:ascii="Verdana" w:hAnsi="Verdana" w:cs="Arial"/>
          <w:sz w:val="21"/>
          <w:szCs w:val="21"/>
        </w:rPr>
      </w:pPr>
      <w:r w:rsidRPr="00E96901">
        <w:rPr>
          <w:rFonts w:ascii="Verdana" w:hAnsi="Verdana" w:cs="Arial"/>
          <w:sz w:val="21"/>
          <w:szCs w:val="21"/>
        </w:rPr>
        <w:t xml:space="preserve">[…] </w:t>
      </w:r>
    </w:p>
    <w:p w14:paraId="53077D07" w14:textId="77777777" w:rsidR="00090B08" w:rsidRPr="00E96901" w:rsidRDefault="00090B08" w:rsidP="009C01A6">
      <w:pPr>
        <w:spacing w:after="0" w:line="240" w:lineRule="auto"/>
        <w:ind w:left="709" w:right="709"/>
        <w:jc w:val="both"/>
        <w:rPr>
          <w:rFonts w:ascii="Verdana" w:hAnsi="Verdana" w:cs="Arial"/>
          <w:sz w:val="21"/>
          <w:szCs w:val="21"/>
        </w:rPr>
      </w:pPr>
      <w:r w:rsidRPr="00E96901">
        <w:rPr>
          <w:rFonts w:ascii="Verdana" w:hAnsi="Verdana"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E96901">
        <w:rPr>
          <w:rStyle w:val="Refdenotaalpie"/>
          <w:rFonts w:ascii="Verdana" w:hAnsi="Verdana" w:cs="Arial"/>
          <w:sz w:val="21"/>
          <w:szCs w:val="21"/>
        </w:rPr>
        <w:footnoteReference w:id="5"/>
      </w:r>
      <w:r w:rsidRPr="00E96901">
        <w:rPr>
          <w:rFonts w:ascii="Verdana" w:hAnsi="Verdana" w:cs="Arial"/>
          <w:sz w:val="21"/>
          <w:szCs w:val="21"/>
        </w:rPr>
        <w:t>.</w:t>
      </w:r>
    </w:p>
    <w:p w14:paraId="61545646" w14:textId="77777777" w:rsidR="00090B08" w:rsidRPr="00E96901" w:rsidRDefault="00090B08" w:rsidP="00090B08">
      <w:pPr>
        <w:spacing w:after="0" w:line="276" w:lineRule="auto"/>
        <w:ind w:left="709" w:right="709"/>
        <w:jc w:val="both"/>
        <w:rPr>
          <w:rFonts w:ascii="Verdana" w:hAnsi="Verdana" w:cs="Arial"/>
        </w:rPr>
      </w:pPr>
    </w:p>
    <w:p w14:paraId="7B7EA85F" w14:textId="77777777" w:rsidR="00090B08" w:rsidRPr="00E96901" w:rsidRDefault="00090B08" w:rsidP="00090B08">
      <w:pPr>
        <w:spacing w:after="120" w:line="276" w:lineRule="auto"/>
        <w:ind w:firstLine="709"/>
        <w:jc w:val="both"/>
        <w:rPr>
          <w:rFonts w:ascii="Verdana" w:hAnsi="Verdana" w:cs="Arial"/>
        </w:rPr>
      </w:pPr>
      <w:r w:rsidRPr="00E96901">
        <w:rPr>
          <w:rFonts w:ascii="Verdana" w:hAnsi="Verdana" w:cs="Arial"/>
        </w:rPr>
        <w:t xml:space="preserve">Conviene también distinguir las fuentes de las inhabilidades, las cuales han sido clasificadas en dos (2) grupos: i) inhabilidades-sanción y </w:t>
      </w:r>
      <w:proofErr w:type="spellStart"/>
      <w:r w:rsidRPr="00E96901">
        <w:rPr>
          <w:rFonts w:ascii="Verdana" w:hAnsi="Verdana" w:cs="Arial"/>
        </w:rPr>
        <w:t>ii</w:t>
      </w:r>
      <w:proofErr w:type="spellEnd"/>
      <w:r w:rsidRPr="00E96901">
        <w:rPr>
          <w:rFonts w:ascii="Verdana" w:hAnsi="Verdana"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E96901">
        <w:rPr>
          <w:rStyle w:val="Refdenotaalpie"/>
          <w:rFonts w:ascii="Verdana" w:hAnsi="Verdana" w:cs="Arial"/>
        </w:rPr>
        <w:footnoteReference w:id="6"/>
      </w:r>
      <w:r w:rsidRPr="00E96901">
        <w:rPr>
          <w:rFonts w:ascii="Verdana" w:hAnsi="Verdana" w:cs="Arial"/>
        </w:rPr>
        <w:t>.</w:t>
      </w:r>
    </w:p>
    <w:p w14:paraId="450E48C3" w14:textId="77777777" w:rsidR="00090B08" w:rsidRPr="00E96901" w:rsidRDefault="00090B08" w:rsidP="00090B08">
      <w:pPr>
        <w:spacing w:after="120" w:line="276" w:lineRule="auto"/>
        <w:ind w:firstLine="709"/>
        <w:jc w:val="both"/>
        <w:rPr>
          <w:rFonts w:ascii="Verdana" w:hAnsi="Verdana" w:cs="Arial"/>
        </w:rPr>
      </w:pPr>
      <w:r w:rsidRPr="00E96901">
        <w:rPr>
          <w:rFonts w:ascii="Verdana" w:hAnsi="Verdana" w:cs="Arial"/>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3" w:name="_Hlk40976328"/>
      <w:r w:rsidRPr="00E96901">
        <w:rPr>
          <w:rFonts w:ascii="Verdana" w:hAnsi="Verdana"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3"/>
    </w:p>
    <w:p w14:paraId="500A2B3E" w14:textId="77777777" w:rsidR="00090B08" w:rsidRPr="00E96901" w:rsidRDefault="00090B08" w:rsidP="00090B08">
      <w:pPr>
        <w:spacing w:after="120" w:line="276" w:lineRule="auto"/>
        <w:ind w:firstLine="708"/>
        <w:jc w:val="both"/>
        <w:rPr>
          <w:rFonts w:ascii="Verdana" w:eastAsia="Calibri" w:hAnsi="Verdana" w:cs="Arial"/>
          <w:lang w:val="es-ES_tradnl"/>
        </w:rPr>
      </w:pPr>
      <w:r w:rsidRPr="00E96901">
        <w:rPr>
          <w:rFonts w:ascii="Verdana" w:eastAsia="Calibri" w:hAnsi="Verdana" w:cs="Arial"/>
          <w:i/>
          <w:iCs/>
          <w:lang w:val="es-ES_tradnl"/>
        </w:rPr>
        <w:t>Igualmente</w:t>
      </w:r>
      <w:r w:rsidRPr="00E96901">
        <w:rPr>
          <w:rFonts w:ascii="Verdana" w:eastAsia="Calibri" w:hAnsi="Verdana" w:cs="Arial"/>
          <w:lang w:val="es-ES_tradnl"/>
        </w:rPr>
        <w:t xml:space="preserve">, </w:t>
      </w:r>
      <w:bookmarkStart w:id="4" w:name="_Hlk135133412"/>
      <w:r w:rsidRPr="00E96901">
        <w:rPr>
          <w:rFonts w:ascii="Verdana" w:eastAsia="Calibri" w:hAnsi="Verdana" w:cs="Arial"/>
          <w:lang w:val="es-ES_tradnl"/>
        </w:rPr>
        <w:t xml:space="preserve">en la contratación estatal, la </w:t>
      </w:r>
      <w:r w:rsidRPr="00E96901">
        <w:rPr>
          <w:rFonts w:ascii="Verdana" w:eastAsia="Calibri" w:hAnsi="Verdana" w:cs="Arial"/>
          <w:i/>
          <w:iCs/>
          <w:lang w:val="es-ES_tradnl"/>
        </w:rPr>
        <w:t>capacidad</w:t>
      </w:r>
      <w:r w:rsidRPr="00E96901">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E96901">
        <w:rPr>
          <w:rStyle w:val="Refdenotaalpie"/>
          <w:rFonts w:ascii="Verdana" w:eastAsia="Calibri" w:hAnsi="Verdana" w:cs="Arial"/>
          <w:lang w:val="es-ES_tradnl"/>
        </w:rPr>
        <w:footnoteReference w:id="7"/>
      </w:r>
      <w:r w:rsidRPr="00E96901">
        <w:rPr>
          <w:rFonts w:ascii="Verdana" w:eastAsia="Calibri" w:hAnsi="Verdana" w:cs="Arial"/>
          <w:lang w:val="es-ES_tradnl"/>
        </w:rPr>
        <w:t xml:space="preserve"> como en el de las entidades exceptuadas de aquel</w:t>
      </w:r>
      <w:r w:rsidRPr="00E96901">
        <w:rPr>
          <w:rStyle w:val="Refdenotaalpie"/>
          <w:rFonts w:ascii="Verdana" w:eastAsia="Calibri" w:hAnsi="Verdana" w:cs="Arial"/>
          <w:lang w:val="es-ES_tradnl"/>
        </w:rPr>
        <w:footnoteReference w:id="8"/>
      </w:r>
      <w:r w:rsidRPr="00E96901">
        <w:rPr>
          <w:rFonts w:ascii="Verdana" w:eastAsia="Calibri" w:hAnsi="Verdana"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E96901">
        <w:rPr>
          <w:rStyle w:val="Refdenotaalpie"/>
          <w:rFonts w:ascii="Verdana" w:eastAsia="Calibri" w:hAnsi="Verdana" w:cs="Arial"/>
          <w:lang w:val="es-ES_tradnl"/>
        </w:rPr>
        <w:footnoteReference w:id="9"/>
      </w:r>
      <w:r w:rsidRPr="00E96901">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E96901">
        <w:rPr>
          <w:rStyle w:val="Refdenotaalpie"/>
          <w:rFonts w:ascii="Verdana" w:eastAsia="Calibri" w:hAnsi="Verdana" w:cs="Arial"/>
          <w:lang w:val="es-ES_tradnl"/>
        </w:rPr>
        <w:footnoteReference w:id="10"/>
      </w:r>
      <w:r w:rsidRPr="00E96901">
        <w:rPr>
          <w:rFonts w:ascii="Verdana" w:eastAsia="Calibri" w:hAnsi="Verdana" w:cs="Arial"/>
          <w:lang w:val="es-ES_tradnl"/>
        </w:rPr>
        <w:t>.</w:t>
      </w:r>
    </w:p>
    <w:p w14:paraId="3129D186" w14:textId="77777777" w:rsidR="00090B08" w:rsidRPr="00E96901" w:rsidRDefault="00090B08" w:rsidP="00090B08">
      <w:pPr>
        <w:spacing w:after="120" w:line="276" w:lineRule="auto"/>
        <w:ind w:firstLine="709"/>
        <w:jc w:val="both"/>
        <w:rPr>
          <w:rFonts w:ascii="Verdana" w:eastAsia="Calibri" w:hAnsi="Verdana" w:cs="Arial"/>
          <w:lang w:val="es-ES"/>
        </w:rPr>
      </w:pPr>
      <w:r w:rsidRPr="0A941B03">
        <w:rPr>
          <w:rFonts w:ascii="Verdana" w:eastAsia="Calibri" w:hAnsi="Verdana" w:cs="Arial"/>
          <w:lang w:val="es-ES"/>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A941B03">
        <w:rPr>
          <w:rFonts w:ascii="Verdana" w:eastAsia="Calibri" w:hAnsi="Verdana" w:cs="Arial"/>
          <w:lang w:val="es-ES"/>
        </w:rPr>
        <w:t>ii</w:t>
      </w:r>
      <w:proofErr w:type="spellEnd"/>
      <w:r w:rsidRPr="0A941B03">
        <w:rPr>
          <w:rFonts w:ascii="Verdana" w:eastAsia="Calibri" w:hAnsi="Verdana" w:cs="Arial"/>
          <w:lang w:val="es-ES"/>
        </w:rPr>
        <w:t xml:space="preserve">) de vínculos personales relativos al parentesco o al estado civil o </w:t>
      </w:r>
      <w:proofErr w:type="spellStart"/>
      <w:r w:rsidRPr="0A941B03">
        <w:rPr>
          <w:rFonts w:ascii="Verdana" w:eastAsia="Calibri" w:hAnsi="Verdana" w:cs="Arial"/>
          <w:lang w:val="es-ES"/>
        </w:rPr>
        <w:t>iii</w:t>
      </w:r>
      <w:proofErr w:type="spellEnd"/>
      <w:r w:rsidRPr="0A941B03">
        <w:rPr>
          <w:rFonts w:ascii="Verdana" w:eastAsia="Calibri" w:hAnsi="Verdana" w:cs="Arial"/>
          <w:lang w:val="es-ES"/>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A941B03">
        <w:rPr>
          <w:rStyle w:val="Refdenotaalpie"/>
          <w:rFonts w:ascii="Verdana" w:eastAsia="Calibri" w:hAnsi="Verdana" w:cs="Arial"/>
          <w:lang w:val="es-ES"/>
        </w:rPr>
        <w:footnoteReference w:id="11"/>
      </w:r>
      <w:r w:rsidRPr="0A941B03">
        <w:rPr>
          <w:rFonts w:ascii="Verdana" w:eastAsia="Calibri" w:hAnsi="Verdana" w:cs="Arial"/>
          <w:lang w:val="es-ES"/>
        </w:rPr>
        <w:t>.</w:t>
      </w:r>
    </w:p>
    <w:bookmarkEnd w:id="4"/>
    <w:p w14:paraId="2C57E004" w14:textId="77777777" w:rsidR="00090B08" w:rsidRPr="00E96901" w:rsidRDefault="00090B08" w:rsidP="00090B08">
      <w:pPr>
        <w:spacing w:after="120" w:line="276" w:lineRule="auto"/>
        <w:ind w:firstLine="709"/>
        <w:jc w:val="both"/>
        <w:rPr>
          <w:rFonts w:ascii="Verdana" w:eastAsia="Calibri" w:hAnsi="Verdana" w:cs="Arial"/>
          <w:lang w:val="es-ES"/>
        </w:rPr>
      </w:pPr>
      <w:r w:rsidRPr="0A941B03">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A941B03">
        <w:rPr>
          <w:rFonts w:ascii="Verdana" w:eastAsia="Calibri" w:hAnsi="Verdana" w:cs="Arial"/>
          <w:lang w:val="es-ES"/>
        </w:rPr>
        <w:t>neopunitiva</w:t>
      </w:r>
      <w:proofErr w:type="spellEnd"/>
      <w:r w:rsidRPr="0A941B03">
        <w:rPr>
          <w:rFonts w:ascii="Verdana" w:eastAsia="Calibri" w:hAnsi="Verdana" w:cs="Arial"/>
          <w:lang w:val="es-ES"/>
        </w:rPr>
        <w:t>”</w:t>
      </w:r>
      <w:r w:rsidRPr="0A941B03">
        <w:rPr>
          <w:rStyle w:val="Refdenotaalpie"/>
          <w:rFonts w:ascii="Verdana" w:eastAsia="Calibri" w:hAnsi="Verdana" w:cs="Arial"/>
          <w:lang w:val="es-ES"/>
        </w:rPr>
        <w:footnoteReference w:id="12"/>
      </w:r>
      <w:r w:rsidRPr="0A941B03">
        <w:rPr>
          <w:rFonts w:ascii="Verdana" w:eastAsia="Calibri" w:hAnsi="Verdana" w:cs="Arial"/>
          <w:lang w:val="es-E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239C73B" w14:textId="77777777" w:rsidR="00090B08" w:rsidRPr="00E96901" w:rsidRDefault="00090B08" w:rsidP="00090B08">
      <w:pPr>
        <w:spacing w:after="120" w:line="276" w:lineRule="auto"/>
        <w:ind w:firstLine="709"/>
        <w:jc w:val="both"/>
        <w:rPr>
          <w:rFonts w:ascii="Verdana" w:eastAsia="Calibri" w:hAnsi="Verdana" w:cs="Arial"/>
          <w:lang w:val="es-ES_tradnl"/>
        </w:rPr>
      </w:pPr>
      <w:r w:rsidRPr="00E96901">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E96901">
        <w:rPr>
          <w:rFonts w:ascii="Verdana" w:eastAsia="Calibri" w:hAnsi="Verdana" w:cs="Arial"/>
          <w:i/>
          <w:iCs/>
          <w:lang w:val="es-ES_tradnl"/>
        </w:rPr>
        <w:t>restrictiva</w:t>
      </w:r>
      <w:r w:rsidRPr="00E96901">
        <w:rPr>
          <w:rStyle w:val="Refdenotaalpie"/>
          <w:rFonts w:ascii="Verdana" w:eastAsia="Calibri" w:hAnsi="Verdana" w:cs="Arial"/>
          <w:i/>
          <w:iCs/>
          <w:lang w:val="es-ES_tradnl"/>
        </w:rPr>
        <w:footnoteReference w:id="13"/>
      </w:r>
      <w:r w:rsidRPr="00E96901">
        <w:rPr>
          <w:rFonts w:ascii="Verdana" w:eastAsia="Calibri" w:hAnsi="Verdana" w:cs="Arial"/>
          <w:i/>
          <w:iCs/>
          <w:lang w:val="es-ES_tradnl"/>
        </w:rPr>
        <w:t xml:space="preserve">, </w:t>
      </w:r>
      <w:r w:rsidRPr="00E96901">
        <w:rPr>
          <w:rFonts w:ascii="Verdana" w:eastAsia="Calibri" w:hAnsi="Verdana"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3D9CEABD" w14:textId="77777777" w:rsidR="00090B08" w:rsidRPr="00E96901" w:rsidRDefault="00090B08" w:rsidP="00090B08">
      <w:pPr>
        <w:spacing w:after="0" w:line="276" w:lineRule="auto"/>
        <w:ind w:firstLine="709"/>
        <w:jc w:val="both"/>
        <w:rPr>
          <w:rFonts w:ascii="Verdana" w:eastAsia="Calibri" w:hAnsi="Verdana" w:cs="Arial"/>
          <w:lang w:val="es-ES_tradnl"/>
        </w:rPr>
      </w:pPr>
      <w:r w:rsidRPr="00E96901">
        <w:rPr>
          <w:rFonts w:ascii="Verdana" w:eastAsia="Calibri" w:hAnsi="Verdana"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E96901">
        <w:rPr>
          <w:rStyle w:val="Refdenotaalpie"/>
          <w:rFonts w:ascii="Verdana" w:eastAsia="Calibri" w:hAnsi="Verdana" w:cs="Arial"/>
          <w:lang w:val="es-ES_tradnl"/>
        </w:rPr>
        <w:footnoteReference w:id="14"/>
      </w:r>
      <w:r w:rsidRPr="00E96901">
        <w:rPr>
          <w:rFonts w:ascii="Verdana" w:eastAsia="Calibri" w:hAnsi="Verdana"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E96901">
        <w:rPr>
          <w:rStyle w:val="Refdenotaalpie"/>
          <w:rFonts w:ascii="Verdana" w:eastAsia="Calibri" w:hAnsi="Verdana" w:cs="Arial"/>
          <w:lang w:val="es-ES_tradnl"/>
        </w:rPr>
        <w:footnoteReference w:id="15"/>
      </w:r>
      <w:r w:rsidRPr="00E96901">
        <w:rPr>
          <w:rFonts w:ascii="Verdana" w:eastAsia="Calibri" w:hAnsi="Verdana" w:cs="Arial"/>
          <w:lang w:val="es-ES_tradnl"/>
        </w:rPr>
        <w:t>. En tal sentido, la Sección Tercera ha señalado que:</w:t>
      </w:r>
    </w:p>
    <w:p w14:paraId="47E6395D" w14:textId="77777777" w:rsidR="00090B08" w:rsidRPr="00E96901" w:rsidRDefault="00090B08" w:rsidP="00090B08">
      <w:pPr>
        <w:spacing w:after="0"/>
        <w:ind w:firstLine="709"/>
        <w:jc w:val="both"/>
        <w:rPr>
          <w:rFonts w:ascii="Verdana" w:eastAsia="Calibri" w:hAnsi="Verdana" w:cs="Arial"/>
          <w:lang w:val="es-ES_tradnl"/>
        </w:rPr>
      </w:pPr>
    </w:p>
    <w:p w14:paraId="6633836B" w14:textId="77777777" w:rsidR="00090B08" w:rsidRPr="00E96901" w:rsidRDefault="00090B08" w:rsidP="009C01A6">
      <w:pPr>
        <w:spacing w:after="0" w:line="240" w:lineRule="auto"/>
        <w:ind w:left="709" w:right="709"/>
        <w:jc w:val="both"/>
        <w:rPr>
          <w:rFonts w:ascii="Verdana" w:eastAsia="Calibri" w:hAnsi="Verdana" w:cs="Arial"/>
          <w:lang w:val="es-ES_tradnl"/>
        </w:rPr>
      </w:pPr>
      <w:r w:rsidRPr="00E96901">
        <w:rPr>
          <w:rFonts w:ascii="Verdana" w:hAnsi="Verdana"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96901">
        <w:rPr>
          <w:rStyle w:val="Refdenotaalpie"/>
          <w:rFonts w:ascii="Verdana" w:hAnsi="Verdana" w:cs="Arial"/>
          <w:sz w:val="21"/>
          <w:szCs w:val="21"/>
          <w:lang w:val="es-ES_tradnl"/>
        </w:rPr>
        <w:footnoteReference w:id="16"/>
      </w:r>
      <w:r w:rsidRPr="00E96901">
        <w:rPr>
          <w:rFonts w:ascii="Verdana" w:hAnsi="Verdana" w:cs="Arial"/>
          <w:sz w:val="21"/>
          <w:szCs w:val="21"/>
          <w:lang w:val="es-ES_tradnl"/>
        </w:rPr>
        <w:t>.</w:t>
      </w:r>
    </w:p>
    <w:p w14:paraId="61458985" w14:textId="77777777" w:rsidR="00090B08" w:rsidRPr="00E96901" w:rsidRDefault="00090B08" w:rsidP="00090B08">
      <w:pPr>
        <w:spacing w:after="0" w:line="276" w:lineRule="auto"/>
        <w:ind w:firstLine="709"/>
        <w:jc w:val="both"/>
        <w:rPr>
          <w:rFonts w:ascii="Verdana" w:eastAsia="Calibri" w:hAnsi="Verdana" w:cs="Arial"/>
          <w:lang w:val="es-ES_tradnl"/>
        </w:rPr>
      </w:pPr>
    </w:p>
    <w:p w14:paraId="43B99180" w14:textId="77777777" w:rsidR="00090B08" w:rsidRDefault="00090B08" w:rsidP="00090B08">
      <w:pPr>
        <w:spacing w:after="0"/>
        <w:ind w:firstLine="709"/>
        <w:jc w:val="both"/>
        <w:rPr>
          <w:rFonts w:ascii="Verdana" w:eastAsia="Calibri" w:hAnsi="Verdana" w:cs="Arial"/>
          <w:lang w:val="es-ES_tradnl"/>
        </w:rPr>
      </w:pPr>
      <w:r w:rsidRPr="00E96901">
        <w:rPr>
          <w:rFonts w:ascii="Verdana" w:eastAsia="Calibri" w:hAnsi="Verdana" w:cs="Arial"/>
          <w:lang w:val="es-ES_tradnl"/>
        </w:rPr>
        <w:t>También ha dicho que:</w:t>
      </w:r>
    </w:p>
    <w:p w14:paraId="410FC1B4" w14:textId="77777777" w:rsidR="00090B08" w:rsidRPr="00E96901" w:rsidRDefault="00090B08" w:rsidP="00090B08">
      <w:pPr>
        <w:spacing w:after="0"/>
        <w:ind w:firstLine="709"/>
        <w:jc w:val="both"/>
        <w:rPr>
          <w:rFonts w:ascii="Verdana" w:eastAsia="Calibri" w:hAnsi="Verdana" w:cs="Arial"/>
          <w:lang w:val="es-ES_tradnl"/>
        </w:rPr>
      </w:pPr>
    </w:p>
    <w:p w14:paraId="1486E6F1" w14:textId="77777777" w:rsidR="00090B08" w:rsidRPr="00E96901" w:rsidRDefault="00090B08" w:rsidP="009C01A6">
      <w:pPr>
        <w:spacing w:after="0" w:line="240" w:lineRule="auto"/>
        <w:ind w:left="709" w:right="616"/>
        <w:jc w:val="both"/>
        <w:rPr>
          <w:rFonts w:ascii="Verdana" w:hAnsi="Verdana" w:cs="Arial"/>
          <w:sz w:val="21"/>
          <w:szCs w:val="21"/>
          <w:lang w:val="es-ES"/>
        </w:rPr>
      </w:pPr>
      <w:r w:rsidRPr="0A941B03">
        <w:rPr>
          <w:rFonts w:ascii="Verdana" w:hAnsi="Verdana" w:cs="Arial"/>
          <w:sz w:val="21"/>
          <w:szCs w:val="21"/>
          <w:lang w:val="es-ES"/>
        </w:rPr>
        <w:t xml:space="preserve">“[…] la aplicación de estos preceptos exige una interpretación restrictiva, dado que según el principio hermenéutico </w:t>
      </w:r>
      <w:r w:rsidRPr="0A941B03">
        <w:rPr>
          <w:rFonts w:ascii="Verdana" w:hAnsi="Verdana" w:cs="Arial"/>
          <w:i/>
          <w:sz w:val="21"/>
          <w:szCs w:val="21"/>
          <w:lang w:val="es-ES"/>
        </w:rPr>
        <w:t xml:space="preserve">pro </w:t>
      </w:r>
      <w:proofErr w:type="spellStart"/>
      <w:r w:rsidRPr="0A941B03">
        <w:rPr>
          <w:rFonts w:ascii="Verdana" w:hAnsi="Verdana" w:cs="Arial"/>
          <w:i/>
          <w:sz w:val="21"/>
          <w:szCs w:val="21"/>
          <w:lang w:val="es-ES"/>
        </w:rPr>
        <w:t>libertate</w:t>
      </w:r>
      <w:proofErr w:type="spellEnd"/>
      <w:r w:rsidRPr="0A941B03">
        <w:rPr>
          <w:rFonts w:ascii="Verdana" w:hAnsi="Verdana"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A941B03">
        <w:rPr>
          <w:rStyle w:val="Refdenotaalpie"/>
          <w:rFonts w:ascii="Verdana" w:hAnsi="Verdana" w:cs="Arial"/>
          <w:sz w:val="21"/>
          <w:szCs w:val="21"/>
          <w:lang w:val="es-ES"/>
        </w:rPr>
        <w:footnoteReference w:id="17"/>
      </w:r>
      <w:r w:rsidRPr="0A941B03">
        <w:rPr>
          <w:rFonts w:ascii="Verdana" w:hAnsi="Verdana" w:cs="Arial"/>
          <w:sz w:val="21"/>
          <w:szCs w:val="21"/>
          <w:lang w:val="es-ES"/>
        </w:rPr>
        <w:t>.</w:t>
      </w:r>
    </w:p>
    <w:p w14:paraId="16566925" w14:textId="77777777" w:rsidR="00090B08" w:rsidRPr="00E96901" w:rsidRDefault="00090B08" w:rsidP="00090B08">
      <w:pPr>
        <w:spacing w:after="0"/>
        <w:ind w:firstLine="708"/>
        <w:jc w:val="both"/>
        <w:rPr>
          <w:rFonts w:ascii="Verdana" w:eastAsia="Arial" w:hAnsi="Verdana" w:cs="Arial"/>
          <w:color w:val="000000"/>
          <w:lang w:val="es-ES_tradnl"/>
        </w:rPr>
      </w:pPr>
    </w:p>
    <w:p w14:paraId="0C0C6FC2" w14:textId="77777777" w:rsidR="00090B08" w:rsidRDefault="00090B08" w:rsidP="00090B08">
      <w:pPr>
        <w:spacing w:after="120" w:line="276" w:lineRule="auto"/>
        <w:ind w:firstLine="709"/>
        <w:jc w:val="both"/>
        <w:rPr>
          <w:rFonts w:ascii="Verdana" w:hAnsi="Verdana" w:cs="Arial"/>
          <w:color w:val="000000" w:themeColor="text1"/>
        </w:rPr>
      </w:pPr>
      <w:bookmarkStart w:id="5" w:name="_Hlk136439150"/>
      <w:r w:rsidRPr="00E96901">
        <w:rPr>
          <w:rFonts w:ascii="Verdana" w:eastAsia="Arial" w:hAnsi="Verdana" w:cs="Arial"/>
          <w:color w:val="000000"/>
          <w:lang w:val="es-ES_tradnl"/>
        </w:rPr>
        <w:t xml:space="preserve">Como se aprecia, el principio </w:t>
      </w:r>
      <w:r w:rsidRPr="00E96901">
        <w:rPr>
          <w:rFonts w:ascii="Verdana" w:eastAsia="Arial" w:hAnsi="Verdana" w:cs="Arial"/>
          <w:i/>
          <w:iCs/>
          <w:color w:val="000000"/>
          <w:lang w:val="es-ES_tradnl"/>
        </w:rPr>
        <w:t xml:space="preserve">pro </w:t>
      </w:r>
      <w:proofErr w:type="spellStart"/>
      <w:r w:rsidRPr="00E96901">
        <w:rPr>
          <w:rFonts w:ascii="Verdana" w:eastAsia="Arial" w:hAnsi="Verdana" w:cs="Arial"/>
          <w:i/>
          <w:iCs/>
          <w:color w:val="000000"/>
          <w:lang w:val="es-ES_tradnl"/>
        </w:rPr>
        <w:t>libertate</w:t>
      </w:r>
      <w:proofErr w:type="spellEnd"/>
      <w:r w:rsidRPr="00E96901">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E96901">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bookmarkEnd w:id="5"/>
      <w:r w:rsidRPr="00E96901">
        <w:rPr>
          <w:rStyle w:val="Refdenotaalpie"/>
          <w:rFonts w:ascii="Verdana" w:hAnsi="Verdana" w:cs="Arial"/>
          <w:color w:val="000000" w:themeColor="text1"/>
        </w:rPr>
        <w:footnoteReference w:id="18"/>
      </w:r>
      <w:r w:rsidRPr="00E96901">
        <w:rPr>
          <w:rFonts w:ascii="Verdana" w:hAnsi="Verdana" w:cs="Arial"/>
          <w:color w:val="000000" w:themeColor="text1"/>
        </w:rPr>
        <w:t>.</w:t>
      </w:r>
    </w:p>
    <w:p w14:paraId="54282B9C" w14:textId="77777777" w:rsidR="00090B08" w:rsidRDefault="00090B08" w:rsidP="00090B08">
      <w:pPr>
        <w:spacing w:after="120" w:line="276" w:lineRule="auto"/>
        <w:ind w:firstLine="708"/>
        <w:jc w:val="both"/>
        <w:rPr>
          <w:rFonts w:ascii="Verdana" w:hAnsi="Verdana" w:cs="Arial"/>
          <w:color w:val="000000" w:themeColor="text1"/>
        </w:rPr>
      </w:pPr>
      <w:r>
        <w:rPr>
          <w:rFonts w:ascii="Verdana" w:hAnsi="Verdana" w:cs="Arial"/>
          <w:color w:val="000000" w:themeColor="text1"/>
        </w:rPr>
        <w:t xml:space="preserve">Por otra parte, si las inhabilidades o incompatibilidades tienen carácter sobreviniente, es necesario tener en cuenta que el ordenamiento jurídico trata de manera distinta al oferente, al adjudicatario y al contratista. </w:t>
      </w:r>
      <w:r w:rsidRPr="006437AB">
        <w:rPr>
          <w:rFonts w:ascii="Verdana" w:hAnsi="Verdana" w:cs="Arial"/>
          <w:i/>
          <w:iCs/>
          <w:color w:val="000000" w:themeColor="text1"/>
        </w:rPr>
        <w:t>Respecto al ofer</w:t>
      </w:r>
      <w:r>
        <w:rPr>
          <w:rFonts w:ascii="Verdana" w:hAnsi="Verdana" w:cs="Arial"/>
          <w:i/>
          <w:iCs/>
          <w:color w:val="000000" w:themeColor="text1"/>
        </w:rPr>
        <w:t>en</w:t>
      </w:r>
      <w:r w:rsidRPr="006437AB">
        <w:rPr>
          <w:rFonts w:ascii="Verdana" w:hAnsi="Verdana" w:cs="Arial"/>
          <w:i/>
          <w:iCs/>
          <w:color w:val="000000" w:themeColor="text1"/>
        </w:rPr>
        <w:t>te</w:t>
      </w:r>
      <w:r>
        <w:rPr>
          <w:rFonts w:ascii="Verdana" w:hAnsi="Verdana" w:cs="Arial"/>
          <w:color w:val="000000" w:themeColor="text1"/>
        </w:rPr>
        <w:t>, el inciso segundo del artículo 9 de la Ley 80 de 1993 dispone que “</w:t>
      </w:r>
      <w:r w:rsidRPr="006437AB">
        <w:rPr>
          <w:rFonts w:ascii="Verdana" w:hAnsi="Verdana" w:cs="Arial"/>
          <w:color w:val="000000" w:themeColor="text1"/>
        </w:rPr>
        <w:t>Cuando la inhabilidad o incompatibilidad sobrevenga en un proponente dentro de un proceso de selección, se entenderá que renuncia a la participación en el proceso de selección y a los derechos surgidos del mismo</w:t>
      </w:r>
      <w:r>
        <w:rPr>
          <w:rFonts w:ascii="Verdana" w:hAnsi="Verdana" w:cs="Arial"/>
          <w:color w:val="000000" w:themeColor="text1"/>
        </w:rPr>
        <w:t>”</w:t>
      </w:r>
      <w:r w:rsidRPr="006437AB">
        <w:rPr>
          <w:rFonts w:ascii="Verdana" w:hAnsi="Verdana" w:cs="Arial"/>
          <w:color w:val="000000" w:themeColor="text1"/>
        </w:rPr>
        <w:t>.</w:t>
      </w:r>
      <w:r>
        <w:rPr>
          <w:rFonts w:ascii="Verdana" w:hAnsi="Verdana" w:cs="Arial"/>
          <w:color w:val="000000" w:themeColor="text1"/>
        </w:rPr>
        <w:t xml:space="preserve"> </w:t>
      </w:r>
      <w:r w:rsidRPr="00102540">
        <w:rPr>
          <w:rFonts w:ascii="Verdana" w:hAnsi="Verdana" w:cs="Arial"/>
          <w:i/>
          <w:iCs/>
          <w:color w:val="000000" w:themeColor="text1"/>
        </w:rPr>
        <w:t>Respecto al adjudicatario</w:t>
      </w:r>
      <w:r>
        <w:rPr>
          <w:rFonts w:ascii="Verdana" w:hAnsi="Verdana" w:cs="Arial"/>
          <w:color w:val="000000" w:themeColor="text1"/>
        </w:rPr>
        <w:t xml:space="preserve">, el inciso 3 del artículo 9 de la Ley 1150 de 2007 prescribe lo siguiente: “[…] </w:t>
      </w:r>
      <w:r w:rsidRPr="00102540">
        <w:rPr>
          <w:rFonts w:ascii="Verdana" w:hAnsi="Verdana" w:cs="Arial"/>
          <w:color w:val="000000" w:themeColor="text1"/>
        </w:rPr>
        <w:t xml:space="preserve">si dentro del plazo comprendido entre la adjudicación del contrato y la suscripción del mismo, sobreviene una inhabilidad o incompatibilidad </w:t>
      </w:r>
      <w:r>
        <w:rPr>
          <w:rFonts w:ascii="Verdana" w:hAnsi="Verdana" w:cs="Arial"/>
          <w:color w:val="000000" w:themeColor="text1"/>
        </w:rPr>
        <w:t>[…]</w:t>
      </w:r>
      <w:r w:rsidRPr="00102540">
        <w:rPr>
          <w:rFonts w:ascii="Verdana" w:hAnsi="Verdana" w:cs="Arial"/>
          <w:color w:val="000000" w:themeColor="text1"/>
        </w:rPr>
        <w:t xml:space="preserve"> este podrá ser revocado</w:t>
      </w:r>
      <w:r>
        <w:rPr>
          <w:rFonts w:ascii="Verdana" w:hAnsi="Verdana" w:cs="Arial"/>
          <w:color w:val="000000" w:themeColor="text1"/>
        </w:rPr>
        <w:t xml:space="preserve"> […]”.</w:t>
      </w:r>
    </w:p>
    <w:p w14:paraId="241DDA1D" w14:textId="77777777" w:rsidR="00090B08" w:rsidRDefault="00090B08" w:rsidP="00090B08">
      <w:pPr>
        <w:spacing w:after="120" w:line="276" w:lineRule="auto"/>
        <w:ind w:firstLine="708"/>
        <w:jc w:val="both"/>
        <w:rPr>
          <w:rFonts w:ascii="Verdana" w:hAnsi="Verdana" w:cs="Arial"/>
          <w:color w:val="000000" w:themeColor="text1"/>
        </w:rPr>
      </w:pPr>
      <w:r>
        <w:rPr>
          <w:rFonts w:ascii="Verdana" w:hAnsi="Verdana" w:cs="Arial"/>
          <w:color w:val="000000" w:themeColor="text1"/>
        </w:rPr>
        <w:t>Sólo con el cumplimiento de los requisitos de los artículos 39 y 41 del Estatuto General de Contratación Pública existe el contrato estatal, de manera que tienen carácter solemne</w:t>
      </w:r>
      <w:r w:rsidRPr="00102540">
        <w:rPr>
          <w:rFonts w:ascii="Verdana" w:hAnsi="Verdana" w:cs="Arial"/>
          <w:color w:val="000000" w:themeColor="text1"/>
        </w:rPr>
        <w:t xml:space="preserve"> y, por tanto, requieren formalidad escrita</w:t>
      </w:r>
      <w:r>
        <w:rPr>
          <w:rFonts w:ascii="Verdana" w:hAnsi="Verdana" w:cs="Arial"/>
          <w:color w:val="000000" w:themeColor="text1"/>
        </w:rPr>
        <w:t xml:space="preserve">. Por ello, </w:t>
      </w:r>
      <w:r w:rsidRPr="00F87C06">
        <w:rPr>
          <w:rFonts w:ascii="Verdana" w:hAnsi="Verdana" w:cs="Arial"/>
          <w:i/>
          <w:iCs/>
          <w:color w:val="000000" w:themeColor="text1"/>
        </w:rPr>
        <w:t>respecto al contratista</w:t>
      </w:r>
      <w:r>
        <w:rPr>
          <w:rFonts w:ascii="Verdana" w:hAnsi="Verdana" w:cs="Arial"/>
          <w:color w:val="000000" w:themeColor="text1"/>
        </w:rPr>
        <w:t>, el inciso primero del artículo 9 de la Ley 80 de 1993 dispone que “</w:t>
      </w:r>
      <w:r w:rsidRPr="00F87C06">
        <w:rPr>
          <w:rFonts w:ascii="Verdana" w:hAnsi="Verdana" w:cs="Arial"/>
          <w:color w:val="000000" w:themeColor="text1"/>
        </w:rPr>
        <w:t>Si llegare a sobrevenir inhabilidad o incompatibilidad en el contratista, este cederá el contrato previa autorización escrita de la entidad contratante o, si ello no fuere posible, renunciará a su ejecución</w:t>
      </w:r>
      <w:r>
        <w:rPr>
          <w:rFonts w:ascii="Verdana" w:hAnsi="Verdana" w:cs="Arial"/>
          <w:color w:val="000000" w:themeColor="text1"/>
        </w:rPr>
        <w:t xml:space="preserve">”. El inciso tercero </w:t>
      </w:r>
      <w:r w:rsidRPr="00F87C06">
        <w:rPr>
          <w:rFonts w:ascii="Verdana" w:hAnsi="Verdana" w:cs="Arial"/>
          <w:i/>
          <w:iCs/>
          <w:color w:val="000000" w:themeColor="text1"/>
        </w:rPr>
        <w:t>ibidem</w:t>
      </w:r>
      <w:r>
        <w:rPr>
          <w:rFonts w:ascii="Verdana" w:hAnsi="Verdana" w:cs="Arial"/>
          <w:color w:val="000000" w:themeColor="text1"/>
        </w:rPr>
        <w:t xml:space="preserve"> agrega lo siguiente: “</w:t>
      </w:r>
      <w:r w:rsidRPr="00F87C06">
        <w:rPr>
          <w:rFonts w:ascii="Verdana" w:hAnsi="Verdana" w:cs="Arial"/>
          <w:color w:val="000000" w:themeColor="text1"/>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r>
        <w:rPr>
          <w:rFonts w:ascii="Verdana" w:hAnsi="Verdana" w:cs="Arial"/>
          <w:color w:val="000000" w:themeColor="text1"/>
        </w:rPr>
        <w:t>”</w:t>
      </w:r>
      <w:r w:rsidRPr="00F87C06">
        <w:rPr>
          <w:rFonts w:ascii="Verdana" w:hAnsi="Verdana" w:cs="Arial"/>
          <w:color w:val="000000" w:themeColor="text1"/>
        </w:rPr>
        <w:t>.</w:t>
      </w:r>
      <w:r>
        <w:rPr>
          <w:rFonts w:ascii="Verdana" w:hAnsi="Verdana" w:cs="Arial"/>
          <w:color w:val="000000" w:themeColor="text1"/>
        </w:rPr>
        <w:t xml:space="preserve">   </w:t>
      </w:r>
    </w:p>
    <w:p w14:paraId="2845473B" w14:textId="77777777" w:rsidR="00090B08" w:rsidRPr="005366FC" w:rsidRDefault="00090B08" w:rsidP="00090B08">
      <w:pPr>
        <w:spacing w:after="0" w:line="276" w:lineRule="auto"/>
        <w:ind w:firstLine="708"/>
        <w:jc w:val="both"/>
        <w:rPr>
          <w:rFonts w:ascii="Verdana" w:hAnsi="Verdana" w:cs="Arial"/>
          <w:color w:val="000000" w:themeColor="text1"/>
        </w:rPr>
      </w:pPr>
      <w:r>
        <w:rPr>
          <w:rFonts w:ascii="Verdana" w:hAnsi="Verdana" w:cs="Arial"/>
          <w:color w:val="000000" w:themeColor="text1"/>
        </w:rPr>
        <w:t xml:space="preserve">En este contexto, durante la fase de selección, los </w:t>
      </w:r>
      <w:r w:rsidRPr="00F87C06">
        <w:rPr>
          <w:rFonts w:ascii="Verdana" w:hAnsi="Verdana" w:cs="Arial"/>
          <w:i/>
          <w:iCs/>
          <w:color w:val="000000" w:themeColor="text1"/>
        </w:rPr>
        <w:t>oferentes</w:t>
      </w:r>
      <w:r>
        <w:rPr>
          <w:rFonts w:ascii="Verdana" w:hAnsi="Verdana" w:cs="Arial"/>
          <w:color w:val="000000" w:themeColor="text1"/>
        </w:rPr>
        <w:t xml:space="preserve"> y </w:t>
      </w:r>
      <w:r w:rsidRPr="00F87C06">
        <w:rPr>
          <w:rFonts w:ascii="Verdana" w:hAnsi="Verdana" w:cs="Arial"/>
          <w:i/>
          <w:iCs/>
          <w:color w:val="000000" w:themeColor="text1"/>
        </w:rPr>
        <w:t>adjudicatarios</w:t>
      </w:r>
      <w:r>
        <w:rPr>
          <w:rFonts w:ascii="Verdana" w:hAnsi="Verdana" w:cs="Arial"/>
          <w:color w:val="000000" w:themeColor="text1"/>
        </w:rPr>
        <w:t xml:space="preserve"> carecen de la posibilidad de ceder contratos por sustracción de materia, siendo los efectos de la inhabilidad sobreviniente las consecuencias descritas </w:t>
      </w:r>
      <w:r w:rsidRPr="005366FC">
        <w:rPr>
          <w:rFonts w:ascii="Verdana" w:hAnsi="Verdana" w:cs="Arial"/>
          <w:i/>
          <w:iCs/>
          <w:color w:val="000000" w:themeColor="text1"/>
        </w:rPr>
        <w:t>ut supra</w:t>
      </w:r>
      <w:r>
        <w:rPr>
          <w:rFonts w:ascii="Verdana" w:hAnsi="Verdana" w:cs="Arial"/>
          <w:color w:val="000000" w:themeColor="text1"/>
        </w:rPr>
        <w:t>. La cesión es una institución jurídica propia de la etapa contractual, por lo que sólo pueden cederse los contratos estatales que se encuentren perfeccionados y no estén liquidados, para los que la requieran, o no se hayan extinguido las obligaciones entre las partes, para aquellos negocios que no la requieran</w:t>
      </w:r>
      <w:r>
        <w:rPr>
          <w:rStyle w:val="Refdenotaalpie"/>
          <w:rFonts w:ascii="Verdana" w:hAnsi="Verdana" w:cs="Arial"/>
          <w:color w:val="000000" w:themeColor="text1"/>
        </w:rPr>
        <w:footnoteReference w:id="19"/>
      </w:r>
      <w:r>
        <w:rPr>
          <w:rFonts w:ascii="Verdana" w:hAnsi="Verdana" w:cs="Arial"/>
          <w:color w:val="000000" w:themeColor="text1"/>
        </w:rPr>
        <w:t xml:space="preserve">. </w:t>
      </w:r>
    </w:p>
    <w:p w14:paraId="04CA5ADC" w14:textId="77777777" w:rsidR="00090B08" w:rsidRPr="00277E26" w:rsidRDefault="00090B08" w:rsidP="00090B08">
      <w:pPr>
        <w:spacing w:after="0" w:line="276" w:lineRule="auto"/>
        <w:jc w:val="both"/>
        <w:rPr>
          <w:rFonts w:ascii="Verdana" w:hAnsi="Verdana" w:cs="Arial"/>
          <w:color w:val="000000" w:themeColor="text1"/>
          <w:lang w:val="es-ES" w:eastAsia="es-CO"/>
        </w:rPr>
      </w:pPr>
    </w:p>
    <w:p w14:paraId="620C54C7" w14:textId="77777777" w:rsidR="00090B08" w:rsidRPr="00593A5F" w:rsidRDefault="00090B08" w:rsidP="00090B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0E1D529A" w14:textId="77777777" w:rsidR="00090B08" w:rsidRPr="00593A5F" w:rsidRDefault="00090B08" w:rsidP="00090B0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90B08" w:rsidRPr="002407CE" w14:paraId="4E96B572" w14:textId="77777777" w:rsidTr="00D23249">
        <w:trPr>
          <w:trHeight w:val="870"/>
          <w:jc w:val="center"/>
        </w:trPr>
        <w:tc>
          <w:tcPr>
            <w:tcW w:w="8647" w:type="dxa"/>
          </w:tcPr>
          <w:p w14:paraId="15F69E89" w14:textId="77777777" w:rsidR="00090B08" w:rsidRDefault="00090B08" w:rsidP="00090B0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6, 150 y 209.</w:t>
            </w:r>
          </w:p>
          <w:p w14:paraId="312CB747" w14:textId="77777777" w:rsidR="00090B08" w:rsidRDefault="00090B08" w:rsidP="00090B0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1994, artículo 6, 8, 9, 39 y 41.</w:t>
            </w:r>
          </w:p>
          <w:p w14:paraId="1B7FD98A" w14:textId="77777777" w:rsidR="00090B08" w:rsidRDefault="00090B08" w:rsidP="00090B0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6 y 9.</w:t>
            </w:r>
          </w:p>
          <w:p w14:paraId="12C94632" w14:textId="77777777" w:rsidR="00090B08" w:rsidRPr="00B2401B" w:rsidRDefault="00090B08" w:rsidP="00090B08">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 xml:space="preserve">Código Civil, artículos 1502 y 1503. </w:t>
            </w:r>
          </w:p>
        </w:tc>
      </w:tr>
    </w:tbl>
    <w:p w14:paraId="06BBA29F" w14:textId="77777777" w:rsidR="00090B08" w:rsidRPr="00277E26" w:rsidRDefault="00090B08" w:rsidP="00090B08">
      <w:pPr>
        <w:widowControl w:val="0"/>
        <w:autoSpaceDE w:val="0"/>
        <w:autoSpaceDN w:val="0"/>
        <w:spacing w:after="0" w:line="276" w:lineRule="auto"/>
        <w:jc w:val="both"/>
        <w:rPr>
          <w:rFonts w:ascii="Verdana" w:hAnsi="Verdana" w:cs="Arial"/>
        </w:rPr>
      </w:pPr>
    </w:p>
    <w:p w14:paraId="675A56D2" w14:textId="77777777" w:rsidR="00090B08" w:rsidRPr="00277E26" w:rsidRDefault="00090B08" w:rsidP="00090B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Doctrina de la Agencia Nacional de Contratación Pública:</w:t>
      </w:r>
    </w:p>
    <w:p w14:paraId="0FC1A4D0" w14:textId="77777777" w:rsidR="00090B08" w:rsidRPr="00277E26" w:rsidRDefault="00090B08" w:rsidP="00090B08">
      <w:pPr>
        <w:widowControl w:val="0"/>
        <w:autoSpaceDE w:val="0"/>
        <w:autoSpaceDN w:val="0"/>
        <w:spacing w:after="0" w:line="276" w:lineRule="auto"/>
        <w:jc w:val="both"/>
        <w:rPr>
          <w:rFonts w:ascii="Verdana" w:hAnsi="Verdana" w:cs="Arial"/>
        </w:rPr>
      </w:pPr>
    </w:p>
    <w:p w14:paraId="12DC6FF8" w14:textId="77777777" w:rsidR="00090B08" w:rsidRPr="00277E26" w:rsidRDefault="00090B08" w:rsidP="00090B0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277E26">
        <w:rPr>
          <w:rStyle w:val="normaltextrun"/>
          <w:rFonts w:ascii="Verdana" w:hAnsi="Verdana" w:cs="Arial"/>
          <w:shd w:val="clear" w:color="auto" w:fill="FFFFFF"/>
          <w:lang w:val="es-ES"/>
        </w:rPr>
        <w:t>Esta Subdirección</w:t>
      </w:r>
      <w:r>
        <w:rPr>
          <w:rStyle w:val="normaltextrun"/>
          <w:rFonts w:ascii="Verdana" w:hAnsi="Verdana" w:cs="Arial"/>
          <w:shd w:val="clear" w:color="auto" w:fill="FFFFFF"/>
          <w:lang w:val="es-ES"/>
        </w:rPr>
        <w:t xml:space="preserve"> </w:t>
      </w:r>
      <w:r w:rsidRPr="009D1699">
        <w:rPr>
          <w:rStyle w:val="normaltextrun"/>
          <w:rFonts w:ascii="Verdana" w:hAnsi="Verdana" w:cs="Arial"/>
          <w:shd w:val="clear" w:color="auto" w:fill="FFFFFF"/>
          <w:lang w:val="es-ES"/>
        </w:rPr>
        <w:t xml:space="preserve">se ha pronunciado sobre </w:t>
      </w:r>
      <w:r>
        <w:rPr>
          <w:rStyle w:val="normaltextrun"/>
          <w:rFonts w:ascii="Verdana" w:hAnsi="Verdana" w:cs="Arial"/>
          <w:shd w:val="clear" w:color="auto" w:fill="FFFFFF"/>
          <w:lang w:val="es-ES"/>
        </w:rPr>
        <w:t>el régimen de inhabilidades e incompatibilidades</w:t>
      </w:r>
      <w:r w:rsidRPr="00277E26">
        <w:rPr>
          <w:rStyle w:val="normaltextrun"/>
          <w:rFonts w:ascii="Verdana" w:hAnsi="Verdana" w:cs="Arial"/>
          <w:shd w:val="clear" w:color="auto" w:fill="FFFFFF"/>
          <w:lang w:val="es-ES"/>
        </w:rPr>
        <w:t xml:space="preserve"> en los Conceptos </w:t>
      </w:r>
      <w:r w:rsidRPr="003D07ED">
        <w:rPr>
          <w:rStyle w:val="normaltextrun"/>
          <w:rFonts w:ascii="Verdana" w:hAnsi="Verdana" w:cs="Arial"/>
          <w:shd w:val="clear" w:color="auto" w:fill="FFFFFF"/>
          <w:lang w:val="es-ES"/>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 C-175 del 4 de mayo de 2023, C-234 del 5 de julio de 2023</w:t>
      </w:r>
      <w:r>
        <w:rPr>
          <w:rStyle w:val="normaltextrun"/>
          <w:rFonts w:ascii="Verdana" w:hAnsi="Verdana" w:cs="Arial"/>
          <w:shd w:val="clear" w:color="auto" w:fill="FFFFFF"/>
          <w:lang w:val="es-ES"/>
        </w:rPr>
        <w:t xml:space="preserve">, </w:t>
      </w:r>
      <w:r w:rsidRPr="003D07ED">
        <w:rPr>
          <w:rStyle w:val="normaltextrun"/>
          <w:rFonts w:ascii="Verdana" w:hAnsi="Verdana" w:cs="Arial"/>
          <w:shd w:val="clear" w:color="auto" w:fill="FFFFFF"/>
          <w:lang w:val="es-ES"/>
        </w:rPr>
        <w:t>C-408 del 21 de agosto de 2024</w:t>
      </w:r>
      <w:r>
        <w:rPr>
          <w:rStyle w:val="normaltextrun"/>
          <w:rFonts w:ascii="Verdana" w:hAnsi="Verdana" w:cs="Arial"/>
          <w:shd w:val="clear" w:color="auto" w:fill="FFFFFF"/>
          <w:lang w:val="es-ES"/>
        </w:rPr>
        <w:t xml:space="preserve"> y C-975 del 16 de diciembre de 2024</w:t>
      </w:r>
      <w:r w:rsidRPr="00277E26">
        <w:rPr>
          <w:rStyle w:val="normaltextrun"/>
          <w:rFonts w:ascii="Verdana" w:hAnsi="Verdana" w:cs="Arial"/>
          <w:shd w:val="clear" w:color="auto" w:fill="FFFFFF"/>
          <w:lang w:val="es-ES"/>
        </w:rPr>
        <w:t>. Es</w:t>
      </w:r>
      <w:r w:rsidRPr="00277E26">
        <w:rPr>
          <w:rFonts w:ascii="Verdana" w:hAnsi="Verdana"/>
        </w:rPr>
        <w:t>tos y otros se encuentran disponibles para consulta en el Sistema de relatoría de la Agencia, al cual puede accederse a través del siguiente enlace:</w:t>
      </w:r>
      <w:r w:rsidRPr="00277E26">
        <w:rPr>
          <w:rStyle w:val="normaltextrun"/>
          <w:rFonts w:ascii="Verdana" w:hAnsi="Verdana" w:cs="Arial"/>
          <w:shd w:val="clear" w:color="auto" w:fill="FFFFFF"/>
          <w:lang w:val="es-ES"/>
        </w:rPr>
        <w:t xml:space="preserve"> </w:t>
      </w:r>
      <w:hyperlink r:id="rId11" w:history="1">
        <w:r w:rsidRPr="00277E26">
          <w:rPr>
            <w:rStyle w:val="Hipervnculo"/>
            <w:rFonts w:ascii="Verdana" w:hAnsi="Verdana" w:cs="Arial"/>
            <w:shd w:val="clear" w:color="auto" w:fill="FFFFFF"/>
            <w:lang w:val="es-ES"/>
          </w:rPr>
          <w:t>https://relatoria.colombiacompra.gov.co/busqueda/conceptos</w:t>
        </w:r>
      </w:hyperlink>
      <w:r w:rsidRPr="00277E26">
        <w:rPr>
          <w:rStyle w:val="normaltextrun"/>
          <w:rFonts w:ascii="Verdana" w:hAnsi="Verdana" w:cs="Arial"/>
          <w:shd w:val="clear" w:color="auto" w:fill="FFFFFF"/>
          <w:lang w:val="es-ES"/>
        </w:rPr>
        <w:t>.</w:t>
      </w:r>
      <w:r w:rsidRPr="00277E26">
        <w:rPr>
          <w:rStyle w:val="normaltextrun"/>
          <w:rFonts w:ascii="Verdana" w:hAnsi="Verdana" w:cs="Arial"/>
          <w:color w:val="FF0000"/>
          <w:shd w:val="clear" w:color="auto" w:fill="FFFFFF"/>
          <w:lang w:val="es-ES"/>
        </w:rPr>
        <w:t xml:space="preserve"> </w:t>
      </w:r>
    </w:p>
    <w:p w14:paraId="2DC03D9C" w14:textId="77777777" w:rsidR="00090B08" w:rsidRPr="00277E26" w:rsidRDefault="00090B08" w:rsidP="00090B0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3084C35" w14:textId="77777777" w:rsidR="00090B08" w:rsidRPr="00277E26" w:rsidRDefault="00090B08" w:rsidP="00090B08">
      <w:pPr>
        <w:widowControl w:val="0"/>
        <w:autoSpaceDE w:val="0"/>
        <w:autoSpaceDN w:val="0"/>
        <w:spacing w:after="0" w:line="276" w:lineRule="auto"/>
        <w:jc w:val="both"/>
        <w:rPr>
          <w:rFonts w:ascii="Verdana" w:hAnsi="Verdana" w:cs="Arial"/>
          <w:color w:val="000000" w:themeColor="text1"/>
          <w:u w:val="single"/>
          <w:shd w:val="clear" w:color="auto" w:fill="FFFFFF"/>
        </w:rPr>
      </w:pPr>
      <w:r w:rsidRPr="00277E26">
        <w:rPr>
          <w:rFonts w:ascii="Verdana" w:hAnsi="Verdana" w:cs="Arial"/>
          <w:color w:val="000000" w:themeColor="text1"/>
          <w:shd w:val="clear" w:color="auto" w:fill="FFFFFF"/>
        </w:rPr>
        <w:t>Le informamos que ya se encuentra disponible la </w:t>
      </w:r>
      <w:r w:rsidRPr="00277E26">
        <w:rPr>
          <w:rFonts w:ascii="Verdana" w:hAnsi="Verdana" w:cs="Arial"/>
          <w:b/>
          <w:bCs/>
          <w:color w:val="000000" w:themeColor="text1"/>
          <w:shd w:val="clear" w:color="auto" w:fill="FFFFFF"/>
        </w:rPr>
        <w:t>Guía para el manejo de ofertas artificialmente bajas en Procesos de Contratación.</w:t>
      </w:r>
      <w:r w:rsidRPr="00277E26">
        <w:rPr>
          <w:rFonts w:ascii="Verdana" w:hAnsi="Verdana" w:cs="Arial"/>
          <w:color w:val="000000" w:themeColor="text1"/>
          <w:shd w:val="clear" w:color="auto" w:fill="FFFFFF"/>
        </w:rPr>
        <w:t> En este  documento podrás consultar una serie de pautas para el manejo ofertas artificialmente bajas, en línea con las mejores prácticas internacionales en la materia. Puede consultar la versión actualizada en el siguiente enlace: </w:t>
      </w:r>
      <w:hyperlink r:id="rId12" w:tooltip="Original URL:&#10;https://www.colombiacompra.gov.co/manuales-guias-y-pliegos-tipo/manuales-y-guias/guia-para-el-manejo-de-ofertas-artificialmente-baja-0&#10;&#10;Click to follow link." w:history="1">
        <w:r w:rsidRPr="00277E26">
          <w:rPr>
            <w:rStyle w:val="Hipervnculo"/>
            <w:rFonts w:ascii="Verdana" w:hAnsi="Verdana" w:cs="Arial"/>
            <w:shd w:val="clear" w:color="auto" w:fill="FFFFFF"/>
          </w:rPr>
          <w:t>https://www.colombiacompra.gov.co/manuales-guias-y-pliegos-tipo/manuales-y-guias/guia-para-el-manejo-de-ofertas-artificialmente-baja-0</w:t>
        </w:r>
      </w:hyperlink>
      <w:r w:rsidRPr="00277E26">
        <w:rPr>
          <w:rFonts w:ascii="Verdana" w:hAnsi="Verdana" w:cs="Arial"/>
          <w:color w:val="000000" w:themeColor="text1"/>
          <w:shd w:val="clear" w:color="auto" w:fill="FFFFFF"/>
          <w:lang w:val="es-ES"/>
        </w:rPr>
        <w:t>.</w:t>
      </w:r>
    </w:p>
    <w:p w14:paraId="3060727C" w14:textId="77777777" w:rsidR="00090B08" w:rsidRPr="00277E26" w:rsidRDefault="00090B08" w:rsidP="00090B08">
      <w:pPr>
        <w:widowControl w:val="0"/>
        <w:autoSpaceDE w:val="0"/>
        <w:autoSpaceDN w:val="0"/>
        <w:spacing w:after="0" w:line="276" w:lineRule="auto"/>
        <w:jc w:val="both"/>
        <w:rPr>
          <w:rFonts w:ascii="Verdana" w:hAnsi="Verdana" w:cs="Arial"/>
          <w:color w:val="000000" w:themeColor="text1"/>
          <w:shd w:val="clear" w:color="auto" w:fill="FFFFFF"/>
        </w:rPr>
      </w:pPr>
    </w:p>
    <w:p w14:paraId="7F14C1BB" w14:textId="77777777" w:rsidR="00090B08" w:rsidRPr="00277E26" w:rsidRDefault="00090B08" w:rsidP="00090B08">
      <w:pPr>
        <w:widowControl w:val="0"/>
        <w:autoSpaceDE w:val="0"/>
        <w:autoSpaceDN w:val="0"/>
        <w:spacing w:after="0" w:line="276" w:lineRule="auto"/>
        <w:jc w:val="both"/>
        <w:rPr>
          <w:rFonts w:ascii="Verdana" w:hAnsi="Verdana" w:cs="Arial"/>
          <w:color w:val="000000" w:themeColor="text1"/>
          <w:shd w:val="clear" w:color="auto" w:fill="FFFFFF"/>
          <w:lang w:val="es-ES"/>
        </w:rPr>
      </w:pPr>
      <w:r w:rsidRPr="00277E26">
        <w:rPr>
          <w:rFonts w:ascii="Verdana" w:hAnsi="Verdana" w:cs="Arial"/>
          <w:color w:val="000000" w:themeColor="text1"/>
          <w:shd w:val="clear" w:color="auto" w:fill="FFFFFF"/>
        </w:rPr>
        <w:t>De otra parte, te contamos que ya publicamos la </w:t>
      </w:r>
      <w:r w:rsidRPr="00277E26">
        <w:rPr>
          <w:rFonts w:ascii="Verdana" w:hAnsi="Verdana" w:cs="Arial"/>
          <w:b/>
          <w:bCs/>
          <w:color w:val="000000" w:themeColor="text1"/>
          <w:shd w:val="clear" w:color="auto" w:fill="FFFFFF"/>
        </w:rPr>
        <w:t>Guía para incentivar la participación de Mujeres en el Sistema de Compras y Contratación Pública</w:t>
      </w:r>
      <w:r w:rsidRPr="00277E26">
        <w:rPr>
          <w:rFonts w:ascii="Verdana" w:hAnsi="Verdana" w:cs="Arial"/>
          <w:color w:val="000000" w:themeColor="text1"/>
          <w:shd w:val="clear" w:color="auto" w:fill="FFFFFF"/>
        </w:rPr>
        <w:t>. Esta guía tiene como finalidad ofrecer información de valor para que las Entidades Estatales fomenten de manera efectiva la participación de las mujeres en el mercado de compras públicas. Puedes consultar la guía en el siguiente enlace: </w:t>
      </w:r>
      <w:hyperlink r:id="rId13" w:tooltip="Original URL:&#10;https://www.colombiacompra.gov.co/manuales-guias-y-pliegos-tipo/manuales-y-guias/guia-para-incentivar-la-participacion-de-las-mujeres&#10;&#10;Click to follow link." w:history="1">
        <w:r w:rsidRPr="00277E26">
          <w:rPr>
            <w:rStyle w:val="Hipervnculo"/>
            <w:rFonts w:ascii="Verdana" w:hAnsi="Verdana" w:cs="Arial"/>
            <w:shd w:val="clear" w:color="auto" w:fill="FFFFFF"/>
          </w:rPr>
          <w:t>https://www.colombiacompra.gov.co/manuales-guias-y-pliegos-tipo/manuales-y-guias/guia-para-incentivar-la-participacion-de-las-mujeres</w:t>
        </w:r>
      </w:hyperlink>
      <w:r w:rsidRPr="00277E26">
        <w:rPr>
          <w:rFonts w:ascii="Verdana" w:hAnsi="Verdana" w:cs="Arial"/>
          <w:color w:val="000000" w:themeColor="text1"/>
          <w:shd w:val="clear" w:color="auto" w:fill="FFFFFF"/>
          <w:lang w:val="es-ES"/>
        </w:rPr>
        <w:t>.</w:t>
      </w:r>
    </w:p>
    <w:p w14:paraId="5A591619" w14:textId="77777777" w:rsidR="00090B08" w:rsidRPr="00277E26" w:rsidRDefault="00090B08" w:rsidP="00090B08">
      <w:pPr>
        <w:widowControl w:val="0"/>
        <w:autoSpaceDE w:val="0"/>
        <w:autoSpaceDN w:val="0"/>
        <w:spacing w:after="0" w:line="276" w:lineRule="auto"/>
        <w:jc w:val="both"/>
        <w:rPr>
          <w:rFonts w:ascii="Verdana" w:hAnsi="Verdana" w:cs="Arial"/>
          <w:color w:val="000000" w:themeColor="text1"/>
          <w:shd w:val="clear" w:color="auto" w:fill="FFFFFF"/>
        </w:rPr>
      </w:pPr>
    </w:p>
    <w:p w14:paraId="26B19DF7" w14:textId="77777777" w:rsidR="00090B08" w:rsidRPr="00277E26" w:rsidRDefault="00090B08" w:rsidP="00090B08">
      <w:pPr>
        <w:widowControl w:val="0"/>
        <w:autoSpaceDE w:val="0"/>
        <w:autoSpaceDN w:val="0"/>
        <w:spacing w:after="0" w:line="276" w:lineRule="auto"/>
        <w:jc w:val="both"/>
        <w:rPr>
          <w:rFonts w:ascii="Verdana" w:hAnsi="Verdana" w:cs="Arial"/>
          <w:color w:val="000000" w:themeColor="text1"/>
          <w:shd w:val="clear" w:color="auto" w:fill="FFFFFF"/>
        </w:rPr>
      </w:pPr>
      <w:r w:rsidRPr="00277E26">
        <w:rPr>
          <w:rFonts w:ascii="Verdana" w:hAnsi="Verdana" w:cs="Arial"/>
          <w:color w:val="000000" w:themeColor="text1"/>
          <w:shd w:val="clear" w:color="auto" w:fill="FFFFFF"/>
        </w:rPr>
        <w:t>También te invitamos a consultar la </w:t>
      </w:r>
      <w:r w:rsidRPr="00277E26">
        <w:rPr>
          <w:rFonts w:ascii="Verdana" w:hAnsi="Verdana" w:cs="Arial"/>
          <w:b/>
          <w:bCs/>
          <w:color w:val="000000" w:themeColor="text1"/>
          <w:shd w:val="clear" w:color="auto" w:fill="FFFFFF"/>
        </w:rPr>
        <w:t>versión VIII de 2024</w:t>
      </w:r>
      <w:r w:rsidRPr="00277E26">
        <w:rPr>
          <w:rFonts w:ascii="Verdana" w:hAnsi="Verdana" w:cs="Arial"/>
          <w:color w:val="000000" w:themeColor="text1"/>
          <w:shd w:val="clear" w:color="auto" w:fill="FFFFFF"/>
        </w:rPr>
        <w:t>, del </w:t>
      </w:r>
      <w:r w:rsidRPr="00277E26">
        <w:rPr>
          <w:rFonts w:ascii="Verdana" w:hAnsi="Verdana" w:cs="Arial"/>
          <w:b/>
          <w:bCs/>
          <w:color w:val="000000" w:themeColor="text1"/>
          <w:shd w:val="clear" w:color="auto" w:fill="FFFFFF"/>
        </w:rPr>
        <w:t>Boletín de Relatoría</w:t>
      </w:r>
      <w:r w:rsidRPr="00277E26">
        <w:rPr>
          <w:rFonts w:ascii="Verdana" w:hAnsi="Verdana" w:cs="Arial"/>
          <w:color w:val="000000" w:themeColor="text1"/>
          <w:shd w:val="clear" w:color="auto" w:fill="FFFFFF"/>
        </w:rPr>
        <w:t> de la Subdirección de Gestión Contractual relacionado con la participación de las MIPYMES en los procesos de compra y contratación pública, el cual se puede descargar en la página web de la Agencia: </w:t>
      </w:r>
      <w:hyperlink r:id="rId14" w:tooltip="Original URL:&#10;https://www.colombiacompra.gov.co/sites/cce_public/files/files_2020/boletin_de_realtoria_viii.pdf&#10;&#10;Click to follow link." w:history="1">
        <w:r w:rsidRPr="00277E26">
          <w:rPr>
            <w:rStyle w:val="Hipervnculo"/>
            <w:rFonts w:ascii="Verdana" w:hAnsi="Verdana" w:cs="Arial"/>
            <w:shd w:val="clear" w:color="auto" w:fill="FFFFFF"/>
          </w:rPr>
          <w:t>https://www.colombiacompra.gov.co/sites/cce_public/files/files_2020/boletin_de_realtoria_viii.pdf</w:t>
        </w:r>
      </w:hyperlink>
      <w:r w:rsidRPr="00277E26">
        <w:rPr>
          <w:rFonts w:ascii="Verdana" w:hAnsi="Verdana" w:cs="Arial"/>
          <w:color w:val="000000" w:themeColor="text1"/>
          <w:shd w:val="clear" w:color="auto" w:fill="FFFFFF"/>
          <w:lang w:val="es-ES"/>
        </w:rPr>
        <w:t>.</w:t>
      </w:r>
    </w:p>
    <w:p w14:paraId="0705E141" w14:textId="77777777" w:rsidR="00090B08" w:rsidRPr="00277E26" w:rsidRDefault="00090B08" w:rsidP="00090B08">
      <w:pPr>
        <w:widowControl w:val="0"/>
        <w:autoSpaceDE w:val="0"/>
        <w:autoSpaceDN w:val="0"/>
        <w:spacing w:after="0" w:line="276" w:lineRule="auto"/>
        <w:jc w:val="both"/>
        <w:rPr>
          <w:rFonts w:ascii="Verdana" w:hAnsi="Verdana" w:cs="Arial"/>
          <w:color w:val="FF0000"/>
          <w:shd w:val="clear" w:color="auto" w:fill="FFFFFF"/>
          <w:lang w:val="es-MX"/>
        </w:rPr>
      </w:pPr>
      <w:r w:rsidRPr="00277E26">
        <w:rPr>
          <w:rFonts w:ascii="Verdana" w:hAnsi="Verdana" w:cs="Arial"/>
          <w:color w:val="000000" w:themeColor="text1"/>
          <w:shd w:val="clear" w:color="auto" w:fill="FFFFFF"/>
        </w:rPr>
        <w:t xml:space="preserve"> </w:t>
      </w:r>
      <w:r w:rsidRPr="00277E26">
        <w:rPr>
          <w:rStyle w:val="normaltextrun"/>
          <w:rFonts w:ascii="Verdana" w:hAnsi="Verdana" w:cs="Arial"/>
          <w:color w:val="FF0000"/>
          <w:shd w:val="clear" w:color="auto" w:fill="FFFFFF"/>
          <w:lang w:val="es-ES"/>
        </w:rPr>
        <w:t xml:space="preserve">        </w:t>
      </w:r>
    </w:p>
    <w:p w14:paraId="079F29E6" w14:textId="77777777" w:rsidR="00090B08" w:rsidRPr="00277E26" w:rsidRDefault="00090B08" w:rsidP="00090B08">
      <w:pPr>
        <w:widowControl w:val="0"/>
        <w:autoSpaceDE w:val="0"/>
        <w:autoSpaceDN w:val="0"/>
        <w:spacing w:after="0" w:line="276" w:lineRule="auto"/>
        <w:jc w:val="both"/>
        <w:rPr>
          <w:rFonts w:ascii="Verdana" w:hAnsi="Verdana" w:cs="Arial"/>
          <w:lang w:val="es-ES_tradnl"/>
        </w:rPr>
      </w:pPr>
      <w:r w:rsidRPr="00277E26">
        <w:rPr>
          <w:rFonts w:ascii="Verdana" w:hAnsi="Verdana" w:cs="Arial"/>
        </w:rPr>
        <w:t xml:space="preserve">Este concepto tiene el alcance previsto en el artículo 28 del Código de Procedimiento Administrativo y de lo Contencioso Administrativo </w:t>
      </w:r>
      <w:r w:rsidRPr="00277E26">
        <w:rPr>
          <w:rFonts w:ascii="Verdana" w:hAnsi="Verdana" w:cs="Arial"/>
          <w:lang w:val="es-ES_tradnl"/>
        </w:rPr>
        <w:t>y las expresiones aquí utilizadas con mayúscula inicial deben ser entendidas con el significado que les otorga el artículo 2.2.1.1.1.3.1. del Decreto 1082 de 2015.</w:t>
      </w:r>
    </w:p>
    <w:p w14:paraId="00170146" w14:textId="77777777" w:rsidR="00090B08" w:rsidRPr="00277E26" w:rsidRDefault="00090B08" w:rsidP="00090B08">
      <w:pPr>
        <w:widowControl w:val="0"/>
        <w:autoSpaceDE w:val="0"/>
        <w:autoSpaceDN w:val="0"/>
        <w:spacing w:after="0" w:line="276" w:lineRule="auto"/>
        <w:jc w:val="both"/>
        <w:rPr>
          <w:rFonts w:ascii="Verdana" w:hAnsi="Verdana" w:cs="Arial"/>
        </w:rPr>
      </w:pPr>
    </w:p>
    <w:p w14:paraId="0D988E0F" w14:textId="77777777" w:rsidR="00090B08" w:rsidRPr="00277E26" w:rsidRDefault="00090B08" w:rsidP="00090B08">
      <w:pPr>
        <w:spacing w:after="0"/>
        <w:rPr>
          <w:rFonts w:ascii="Verdana" w:hAnsi="Verdana" w:cs="Arial"/>
          <w:lang w:eastAsia="es-CO"/>
        </w:rPr>
      </w:pPr>
      <w:r w:rsidRPr="00277E26">
        <w:rPr>
          <w:rFonts w:ascii="Verdana" w:hAnsi="Verdana" w:cs="Arial"/>
          <w:lang w:eastAsia="es-CO"/>
        </w:rPr>
        <w:t xml:space="preserve">Atentamente, </w:t>
      </w:r>
    </w:p>
    <w:p w14:paraId="308E8EB2" w14:textId="77777777" w:rsidR="00090B08" w:rsidRPr="00593A5F" w:rsidRDefault="00477C77" w:rsidP="00090B08">
      <w:pPr>
        <w:spacing w:after="0" w:line="276" w:lineRule="auto"/>
        <w:jc w:val="center"/>
        <w:rPr>
          <w:rFonts w:ascii="Verdana" w:hAnsi="Verdana" w:cs="Arial"/>
          <w:color w:val="000000"/>
          <w:lang w:val="es-ES_tradnl" w:eastAsia="es-CO"/>
        </w:rPr>
      </w:pPr>
      <w:r>
        <w:rPr>
          <w:noProof/>
        </w:rPr>
        <w:drawing>
          <wp:inline distT="0" distB="0" distL="0" distR="0" wp14:anchorId="67B62958" wp14:editId="525D147F">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90B08" w:rsidRPr="00593A5F" w14:paraId="45CCB915" w14:textId="77777777" w:rsidTr="00D23249">
        <w:trPr>
          <w:trHeight w:val="315"/>
        </w:trPr>
        <w:tc>
          <w:tcPr>
            <w:tcW w:w="893" w:type="dxa"/>
            <w:vAlign w:val="center"/>
            <w:hideMark/>
          </w:tcPr>
          <w:p w14:paraId="68052177" w14:textId="77777777" w:rsidR="00090B08" w:rsidRPr="003751C7" w:rsidRDefault="00090B08" w:rsidP="00090B0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7E1C1F3" w14:textId="77777777" w:rsidR="00090B08" w:rsidRPr="00254A7A" w:rsidRDefault="00090B08" w:rsidP="00090B08">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ADA5A73" w14:textId="77777777" w:rsidR="00090B08" w:rsidRPr="00254A7A" w:rsidRDefault="00090B08" w:rsidP="00090B08">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090B08" w:rsidRPr="00593A5F" w14:paraId="0DB0A31C" w14:textId="77777777" w:rsidTr="00D23249">
        <w:trPr>
          <w:trHeight w:val="330"/>
        </w:trPr>
        <w:tc>
          <w:tcPr>
            <w:tcW w:w="893" w:type="dxa"/>
            <w:vAlign w:val="center"/>
            <w:hideMark/>
          </w:tcPr>
          <w:p w14:paraId="59E52329" w14:textId="77777777" w:rsidR="00090B08" w:rsidRPr="003751C7" w:rsidRDefault="00090B08" w:rsidP="00090B0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682AF24" w14:textId="77777777" w:rsidR="00090B08" w:rsidRPr="00254A7A" w:rsidRDefault="00090B08" w:rsidP="00090B08">
            <w:pPr>
              <w:pStyle w:val="paragraph"/>
              <w:spacing w:before="0" w:beforeAutospacing="0" w:after="0" w:afterAutospacing="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1E85CA5A" w14:textId="77777777" w:rsidR="00090B08" w:rsidRPr="00254A7A" w:rsidRDefault="00090B08" w:rsidP="00090B08">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090B08" w:rsidRPr="00593A5F" w14:paraId="2DC97A04" w14:textId="77777777" w:rsidTr="00D23249">
        <w:trPr>
          <w:trHeight w:val="300"/>
        </w:trPr>
        <w:tc>
          <w:tcPr>
            <w:tcW w:w="893" w:type="dxa"/>
            <w:vAlign w:val="center"/>
          </w:tcPr>
          <w:p w14:paraId="4C6E166E" w14:textId="77777777" w:rsidR="00090B08" w:rsidRPr="003751C7" w:rsidRDefault="00090B08" w:rsidP="00090B0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65F48B6" w14:textId="77777777" w:rsidR="00090B08" w:rsidRPr="003751C7" w:rsidRDefault="00090B08" w:rsidP="00090B0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075444A" w14:textId="77777777" w:rsidR="00090B08" w:rsidRPr="003751C7" w:rsidRDefault="00090B08" w:rsidP="00090B0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255AA899" w14:textId="77777777" w:rsidR="00090B08" w:rsidRPr="00593A5F" w:rsidRDefault="00090B08" w:rsidP="00090B08">
      <w:pPr>
        <w:spacing w:after="0"/>
        <w:rPr>
          <w:rFonts w:ascii="Verdana" w:hAnsi="Verdana" w:cs="Arial"/>
          <w:lang w:eastAsia="es-ES"/>
        </w:rPr>
      </w:pPr>
    </w:p>
    <w:p w14:paraId="2202BCF4" w14:textId="77777777" w:rsidR="00486DC8" w:rsidRPr="00C37E64" w:rsidRDefault="00412262" w:rsidP="00090B08">
      <w:pPr>
        <w:spacing w:after="0"/>
      </w:pPr>
      <w:r w:rsidRPr="00C37E64">
        <w:t xml:space="preserve"> </w:t>
      </w:r>
      <w:bookmarkEnd w:id="0"/>
    </w:p>
    <w:p w14:paraId="5E17A3C9" w14:textId="77777777" w:rsidR="00090B08" w:rsidRPr="00C37E64" w:rsidRDefault="00090B08" w:rsidP="00090B08">
      <w:pPr>
        <w:spacing w:after="0"/>
      </w:pPr>
    </w:p>
    <w:sectPr w:rsidR="00090B08" w:rsidRPr="00C37E64" w:rsidSect="007C0C0F">
      <w:headerReference w:type="even" r:id="rId16"/>
      <w:headerReference w:type="default" r:id="rId17"/>
      <w:footerReference w:type="even" r:id="rId18"/>
      <w:footerReference w:type="default" r:id="rId19"/>
      <w:headerReference w:type="first" r:id="rId20"/>
      <w:footerReference w:type="firs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8EBB" w14:textId="77777777" w:rsidR="00BA470D" w:rsidRDefault="00BA470D" w:rsidP="004A1847">
      <w:pPr>
        <w:spacing w:after="0" w:line="240" w:lineRule="auto"/>
      </w:pPr>
      <w:r>
        <w:separator/>
      </w:r>
    </w:p>
  </w:endnote>
  <w:endnote w:type="continuationSeparator" w:id="0">
    <w:p w14:paraId="5384483A" w14:textId="77777777" w:rsidR="00BA470D" w:rsidRDefault="00BA470D" w:rsidP="004A1847">
      <w:pPr>
        <w:spacing w:after="0" w:line="240" w:lineRule="auto"/>
      </w:pPr>
      <w:r>
        <w:continuationSeparator/>
      </w:r>
    </w:p>
  </w:endnote>
  <w:endnote w:type="continuationNotice" w:id="1">
    <w:p w14:paraId="1AD66B8C" w14:textId="77777777" w:rsidR="00BA470D" w:rsidRDefault="00BA4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1FF4" w14:textId="77777777" w:rsidR="00F564E1" w:rsidRDefault="00F564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A5E2" w14:textId="77777777" w:rsidR="004A1847" w:rsidRDefault="004A1847">
    <w:pPr>
      <w:pStyle w:val="Piedepgina"/>
    </w:pPr>
  </w:p>
  <w:p w14:paraId="4416A857"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444F842"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4F4CFF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4EDB4EAF" w14:textId="77777777"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D0E2" w14:textId="77777777" w:rsidR="00F564E1" w:rsidRDefault="00F564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44A8" w14:textId="77777777" w:rsidR="00BA470D" w:rsidRDefault="00BA470D" w:rsidP="004A1847">
      <w:pPr>
        <w:spacing w:after="0" w:line="240" w:lineRule="auto"/>
      </w:pPr>
      <w:r>
        <w:separator/>
      </w:r>
    </w:p>
  </w:footnote>
  <w:footnote w:type="continuationSeparator" w:id="0">
    <w:p w14:paraId="67B81B4D" w14:textId="77777777" w:rsidR="00BA470D" w:rsidRDefault="00BA470D" w:rsidP="004A1847">
      <w:pPr>
        <w:spacing w:after="0" w:line="240" w:lineRule="auto"/>
      </w:pPr>
      <w:r>
        <w:continuationSeparator/>
      </w:r>
    </w:p>
  </w:footnote>
  <w:footnote w:type="continuationNotice" w:id="1">
    <w:p w14:paraId="127E0401" w14:textId="77777777" w:rsidR="00BA470D" w:rsidRDefault="00BA470D">
      <w:pPr>
        <w:spacing w:after="0" w:line="240" w:lineRule="auto"/>
      </w:pPr>
    </w:p>
  </w:footnote>
  <w:footnote w:id="2">
    <w:p w14:paraId="28C890A3" w14:textId="77777777" w:rsidR="00090B08" w:rsidRPr="00E96901" w:rsidRDefault="00090B08" w:rsidP="00090B08">
      <w:pPr>
        <w:pStyle w:val="Textonotapie"/>
        <w:ind w:firstLine="709"/>
        <w:jc w:val="both"/>
        <w:rPr>
          <w:rFonts w:ascii="Verdana" w:hAnsi="Verdana" w:cs="Arial"/>
          <w:sz w:val="16"/>
          <w:szCs w:val="16"/>
          <w:lang w:val="es-ES_tradnl"/>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pt-BR"/>
        </w:rPr>
        <w:t>CORTE CONSTITUCIONAL. Sentencia C-1016 de 2012. M.P. Jorge Iván Palacio.</w:t>
      </w:r>
    </w:p>
  </w:footnote>
  <w:footnote w:id="3">
    <w:p w14:paraId="316186A5" w14:textId="77777777" w:rsidR="00090B08" w:rsidRPr="00E96901" w:rsidRDefault="00090B08" w:rsidP="00090B08">
      <w:pPr>
        <w:pStyle w:val="Textonotapie"/>
        <w:ind w:firstLine="709"/>
        <w:jc w:val="both"/>
        <w:rPr>
          <w:rFonts w:ascii="Verdana" w:hAnsi="Verdana" w:cs="Arial"/>
          <w:sz w:val="16"/>
          <w:szCs w:val="16"/>
          <w:lang w:val="pt-BR"/>
        </w:rPr>
      </w:pPr>
      <w:r w:rsidRPr="00E96901">
        <w:rPr>
          <w:rStyle w:val="Refdenotaalpie"/>
          <w:rFonts w:ascii="Verdana" w:hAnsi="Verdana" w:cs="Arial"/>
          <w:sz w:val="16"/>
          <w:szCs w:val="16"/>
        </w:rPr>
        <w:footnoteRef/>
      </w:r>
      <w:r w:rsidRPr="00E96901">
        <w:rPr>
          <w:rFonts w:ascii="Verdana" w:hAnsi="Verdana" w:cs="Arial"/>
          <w:sz w:val="16"/>
          <w:szCs w:val="16"/>
        </w:rPr>
        <w:t xml:space="preserve"> CONSEJO DE ESTADO. Sección Tercera. Subsección A. Sentencia del 13 de noviembre de 2013. </w:t>
      </w:r>
      <w:r w:rsidRPr="00E96901">
        <w:rPr>
          <w:rFonts w:ascii="Verdana" w:hAnsi="Verdana" w:cs="Arial"/>
          <w:sz w:val="16"/>
          <w:szCs w:val="16"/>
          <w:lang w:val="pt-BR"/>
        </w:rPr>
        <w:t>Rad. 25.646. C.P. Mauricio Fajardo Gómez.</w:t>
      </w:r>
    </w:p>
  </w:footnote>
  <w:footnote w:id="4">
    <w:p w14:paraId="05774216" w14:textId="77777777" w:rsidR="00090B08" w:rsidRPr="00E96901" w:rsidRDefault="00090B08" w:rsidP="00090B08">
      <w:pPr>
        <w:pStyle w:val="Textonotapie"/>
        <w:ind w:firstLine="709"/>
        <w:jc w:val="both"/>
        <w:rPr>
          <w:rFonts w:ascii="Verdana" w:hAnsi="Verdana" w:cs="Arial"/>
          <w:sz w:val="16"/>
          <w:szCs w:val="16"/>
          <w:lang w:val="es-ES_tradnl"/>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pt-BR"/>
        </w:rPr>
        <w:t>CORTE CONSTITUCIONAL. Sentencia C-415 de 1994. M.P. Eduardo Cifuentes Muñoz.</w:t>
      </w:r>
    </w:p>
  </w:footnote>
  <w:footnote w:id="5">
    <w:p w14:paraId="4B2EE6CF" w14:textId="77777777" w:rsidR="00090B08" w:rsidRPr="00E96901" w:rsidRDefault="00090B08" w:rsidP="00090B08">
      <w:pPr>
        <w:pStyle w:val="Textonotapie"/>
        <w:ind w:firstLine="709"/>
        <w:jc w:val="both"/>
        <w:rPr>
          <w:rFonts w:ascii="Verdana" w:hAnsi="Verdana" w:cs="Arial"/>
          <w:sz w:val="16"/>
          <w:szCs w:val="16"/>
          <w:lang w:val="pt-BR"/>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pt-BR"/>
        </w:rPr>
        <w:t>Ibídem.</w:t>
      </w:r>
    </w:p>
  </w:footnote>
  <w:footnote w:id="6">
    <w:p w14:paraId="61598277" w14:textId="77777777" w:rsidR="00090B08" w:rsidRPr="00E96901" w:rsidRDefault="00090B08" w:rsidP="00090B08">
      <w:pPr>
        <w:pStyle w:val="Textonotapie"/>
        <w:ind w:firstLine="709"/>
        <w:jc w:val="both"/>
        <w:rPr>
          <w:rFonts w:ascii="Verdana" w:hAnsi="Verdana" w:cs="Arial"/>
          <w:sz w:val="16"/>
          <w:szCs w:val="16"/>
          <w:lang w:val="es-CO"/>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pt-BR"/>
        </w:rPr>
        <w:t xml:space="preserve">CORTE CONSTITUCIONAL. </w:t>
      </w:r>
      <w:r w:rsidRPr="00E96901">
        <w:rPr>
          <w:rFonts w:ascii="Verdana" w:hAnsi="Verdana" w:cs="Arial"/>
          <w:sz w:val="16"/>
          <w:szCs w:val="16"/>
        </w:rPr>
        <w:t xml:space="preserve">Sentencia C-780 de 2001. </w:t>
      </w:r>
      <w:r w:rsidRPr="00E96901">
        <w:rPr>
          <w:rFonts w:ascii="Verdana" w:hAnsi="Verdana" w:cs="Arial"/>
          <w:sz w:val="16"/>
          <w:szCs w:val="16"/>
          <w:lang w:val="es-CO"/>
        </w:rPr>
        <w:t xml:space="preserve">M.P. Jaime Córdoba Triviño. </w:t>
      </w:r>
    </w:p>
  </w:footnote>
  <w:footnote w:id="7">
    <w:p w14:paraId="41EF0551" w14:textId="77777777" w:rsidR="00090B08" w:rsidRPr="00E96901" w:rsidRDefault="00090B08" w:rsidP="00090B08">
      <w:pPr>
        <w:pStyle w:val="Textonotapie"/>
        <w:ind w:firstLine="709"/>
        <w:jc w:val="both"/>
        <w:rPr>
          <w:rFonts w:ascii="Verdana" w:hAnsi="Verdana" w:cs="Arial"/>
          <w:sz w:val="16"/>
          <w:szCs w:val="16"/>
        </w:rPr>
      </w:pPr>
      <w:r w:rsidRPr="00E96901">
        <w:rPr>
          <w:rStyle w:val="Refdenotaalpie"/>
          <w:rFonts w:ascii="Verdana" w:hAnsi="Verdana" w:cs="Arial"/>
          <w:sz w:val="16"/>
          <w:szCs w:val="16"/>
        </w:rPr>
        <w:footnoteRef/>
      </w:r>
      <w:r w:rsidRPr="00E96901">
        <w:rPr>
          <w:rFonts w:ascii="Verdana" w:hAnsi="Verdana" w:cs="Arial"/>
          <w:sz w:val="16"/>
          <w:szCs w:val="16"/>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9ABD875" w14:textId="77777777" w:rsidR="00090B08" w:rsidRPr="00E96901" w:rsidRDefault="00090B08" w:rsidP="00090B08">
      <w:pPr>
        <w:pStyle w:val="Textonotapie"/>
        <w:ind w:firstLine="709"/>
        <w:jc w:val="both"/>
        <w:rPr>
          <w:rFonts w:ascii="Verdana" w:hAnsi="Verdana" w:cs="Arial"/>
          <w:sz w:val="16"/>
          <w:szCs w:val="16"/>
        </w:rPr>
      </w:pPr>
      <w:r w:rsidRPr="00E96901">
        <w:rPr>
          <w:rFonts w:ascii="Verdana" w:hAnsi="Verdana" w:cs="Arial"/>
          <w:sz w:val="16"/>
          <w:szCs w:val="16"/>
        </w:rPr>
        <w:t>Las personas jurídicas nacionales y extranjeras deberán acreditar que su duración no será inferior a la del plazo del contrato y un año más”.</w:t>
      </w:r>
    </w:p>
  </w:footnote>
  <w:footnote w:id="8">
    <w:p w14:paraId="209BC6CA" w14:textId="77777777" w:rsidR="00090B08" w:rsidRPr="00E96901" w:rsidRDefault="00090B08" w:rsidP="00090B08">
      <w:pPr>
        <w:pStyle w:val="Textonotapie"/>
        <w:ind w:firstLine="709"/>
        <w:jc w:val="both"/>
        <w:rPr>
          <w:rFonts w:ascii="Verdana" w:hAnsi="Verdana" w:cs="Arial"/>
          <w:sz w:val="16"/>
          <w:szCs w:val="16"/>
        </w:rPr>
      </w:pPr>
      <w:r w:rsidRPr="00E96901">
        <w:rPr>
          <w:rStyle w:val="Refdenotaalpie"/>
          <w:rFonts w:ascii="Verdana" w:hAnsi="Verdana" w:cs="Arial"/>
          <w:sz w:val="16"/>
          <w:szCs w:val="16"/>
        </w:rPr>
        <w:footnoteRef/>
      </w:r>
      <w:r w:rsidRPr="00E96901">
        <w:rPr>
          <w:rFonts w:ascii="Verdana" w:hAnsi="Verdana" w:cs="Arial"/>
          <w:sz w:val="16"/>
          <w:szCs w:val="16"/>
        </w:rPr>
        <w:t xml:space="preserve"> Código Civil: “Artículo 1502. Requisitos para obligarse. Para que una persona se obligue a otra por un acto o declaración de voluntad, es necesario:</w:t>
      </w:r>
    </w:p>
    <w:p w14:paraId="1325F566" w14:textId="77777777" w:rsidR="00090B08" w:rsidRPr="00E96901" w:rsidRDefault="00090B08" w:rsidP="00090B08">
      <w:pPr>
        <w:pStyle w:val="Textonotapie"/>
        <w:ind w:firstLine="709"/>
        <w:jc w:val="both"/>
        <w:rPr>
          <w:rFonts w:ascii="Verdana" w:hAnsi="Verdana" w:cs="Arial"/>
          <w:sz w:val="16"/>
          <w:szCs w:val="16"/>
        </w:rPr>
      </w:pPr>
      <w:r w:rsidRPr="00E96901">
        <w:rPr>
          <w:rFonts w:ascii="Verdana" w:hAnsi="Verdana" w:cs="Arial"/>
          <w:sz w:val="16"/>
          <w:szCs w:val="16"/>
        </w:rPr>
        <w:t>1o.) que sea legalmente capaz.</w:t>
      </w:r>
    </w:p>
    <w:p w14:paraId="3243FE81" w14:textId="77777777" w:rsidR="00090B08" w:rsidRPr="00E96901" w:rsidRDefault="00090B08" w:rsidP="00090B08">
      <w:pPr>
        <w:pStyle w:val="Textonotapie"/>
        <w:ind w:firstLine="709"/>
        <w:jc w:val="both"/>
        <w:rPr>
          <w:rFonts w:ascii="Verdana" w:hAnsi="Verdana" w:cs="Arial"/>
          <w:sz w:val="16"/>
          <w:szCs w:val="16"/>
        </w:rPr>
      </w:pPr>
      <w:r w:rsidRPr="00E96901">
        <w:rPr>
          <w:rFonts w:ascii="Verdana" w:hAnsi="Verdana" w:cs="Arial"/>
          <w:sz w:val="16"/>
          <w:szCs w:val="16"/>
        </w:rPr>
        <w:t>[…]</w:t>
      </w:r>
    </w:p>
    <w:p w14:paraId="75877A65" w14:textId="77777777" w:rsidR="00090B08" w:rsidRPr="00E96901" w:rsidRDefault="00090B08" w:rsidP="00090B08">
      <w:pPr>
        <w:pStyle w:val="Textonotapie"/>
        <w:ind w:firstLine="709"/>
        <w:jc w:val="both"/>
        <w:rPr>
          <w:rFonts w:ascii="Verdana" w:hAnsi="Verdana" w:cs="Arial"/>
          <w:sz w:val="16"/>
          <w:szCs w:val="16"/>
        </w:rPr>
      </w:pPr>
      <w:r w:rsidRPr="00E96901">
        <w:rPr>
          <w:rFonts w:ascii="Verdana" w:hAnsi="Verdana" w:cs="Arial"/>
          <w:sz w:val="16"/>
          <w:szCs w:val="16"/>
        </w:rPr>
        <w:t>La capacidad legal de una persona consiste en poderse obligar por sí misma, sin el ministerio o la autorización de otra”.</w:t>
      </w:r>
    </w:p>
  </w:footnote>
  <w:footnote w:id="9">
    <w:p w14:paraId="696F653B" w14:textId="77777777" w:rsidR="00090B08" w:rsidRPr="00E96901" w:rsidRDefault="00090B08" w:rsidP="00090B08">
      <w:pPr>
        <w:pStyle w:val="Textonotapie"/>
        <w:ind w:firstLine="709"/>
        <w:jc w:val="both"/>
        <w:rPr>
          <w:rFonts w:ascii="Verdana" w:hAnsi="Verdana" w:cs="Arial"/>
          <w:sz w:val="16"/>
          <w:szCs w:val="16"/>
        </w:rPr>
      </w:pPr>
      <w:r w:rsidRPr="00E96901">
        <w:rPr>
          <w:rStyle w:val="Refdenotaalpie"/>
          <w:rFonts w:ascii="Verdana" w:hAnsi="Verdana" w:cs="Arial"/>
          <w:sz w:val="16"/>
          <w:szCs w:val="16"/>
        </w:rPr>
        <w:footnoteRef/>
      </w:r>
      <w:r w:rsidRPr="00E96901">
        <w:rPr>
          <w:rFonts w:ascii="Verdana" w:hAnsi="Verdana" w:cs="Arial"/>
          <w:sz w:val="16"/>
          <w:szCs w:val="16"/>
        </w:rPr>
        <w:t xml:space="preserve"> Decreto Ley 19 de 2012: “Artículo 221. El artículo 6 de la Ley 1150 de 2007, quedará así:</w:t>
      </w:r>
    </w:p>
    <w:p w14:paraId="718B820A" w14:textId="77777777" w:rsidR="00090B08" w:rsidRPr="00E96901" w:rsidRDefault="00090B08" w:rsidP="00090B08">
      <w:pPr>
        <w:pStyle w:val="Textonotapie"/>
        <w:ind w:firstLine="709"/>
        <w:jc w:val="both"/>
        <w:rPr>
          <w:rFonts w:ascii="Verdana" w:hAnsi="Verdana" w:cs="Arial"/>
          <w:sz w:val="16"/>
          <w:szCs w:val="16"/>
          <w:lang w:val="es-ES"/>
        </w:rPr>
      </w:pPr>
      <w:r w:rsidRPr="00E96901">
        <w:rPr>
          <w:rFonts w:ascii="Verdana" w:hAnsi="Verdana" w:cs="Arial"/>
          <w:sz w:val="16"/>
          <w:szCs w:val="16"/>
        </w:rPr>
        <w:t>Artículo 6. De la verificación de las condiciones de los proponentes. T</w:t>
      </w:r>
      <w:r w:rsidRPr="00E96901">
        <w:rPr>
          <w:rFonts w:ascii="Verdana" w:hAnsi="Verdana" w:cs="Arial"/>
          <w:sz w:val="16"/>
          <w:szCs w:val="16"/>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008B245" w14:textId="77777777" w:rsidR="00090B08" w:rsidRPr="00E96901" w:rsidRDefault="00090B08" w:rsidP="00090B08">
      <w:pPr>
        <w:pStyle w:val="Textonotapie"/>
        <w:ind w:firstLine="709"/>
        <w:jc w:val="both"/>
        <w:rPr>
          <w:rFonts w:ascii="Verdana" w:hAnsi="Verdana" w:cs="Arial"/>
          <w:sz w:val="16"/>
          <w:szCs w:val="16"/>
          <w:lang w:val="es-ES"/>
        </w:rPr>
      </w:pPr>
      <w:r w:rsidRPr="00E96901">
        <w:rPr>
          <w:rFonts w:ascii="Verdana" w:hAnsi="Verdana" w:cs="Arial"/>
          <w:sz w:val="16"/>
          <w:szCs w:val="16"/>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0">
    <w:p w14:paraId="38ABC5A0" w14:textId="77777777" w:rsidR="00090B08" w:rsidRPr="00E96901" w:rsidRDefault="00090B08" w:rsidP="00090B08">
      <w:pPr>
        <w:pStyle w:val="Textonotapie"/>
        <w:ind w:firstLine="709"/>
        <w:jc w:val="both"/>
        <w:rPr>
          <w:rFonts w:ascii="Verdana" w:hAnsi="Verdana" w:cs="Arial"/>
          <w:sz w:val="16"/>
          <w:szCs w:val="16"/>
          <w:lang w:val="es-ES"/>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E96901">
        <w:rPr>
          <w:rFonts w:ascii="Verdana" w:hAnsi="Verdana" w:cs="Arial"/>
          <w:i/>
          <w:iCs/>
          <w:sz w:val="16"/>
          <w:szCs w:val="16"/>
          <w:lang w:val="es-ES"/>
        </w:rPr>
        <w:t>el régimen de inhabilidades e incompatibilidades</w:t>
      </w:r>
      <w:r w:rsidRPr="00E96901">
        <w:rPr>
          <w:rFonts w:ascii="Verdana" w:hAnsi="Verdana" w:cs="Arial"/>
          <w:sz w:val="16"/>
          <w:szCs w:val="16"/>
          <w:lang w:val="es-ES"/>
        </w:rPr>
        <w:t xml:space="preserve"> (1) y la obligación de ciertos proponentes de inscribirse en el </w:t>
      </w:r>
      <w:r w:rsidRPr="00E96901">
        <w:rPr>
          <w:rFonts w:ascii="Verdana" w:hAnsi="Verdana" w:cs="Arial"/>
          <w:i/>
          <w:iCs/>
          <w:sz w:val="16"/>
          <w:szCs w:val="16"/>
          <w:lang w:val="es-ES"/>
        </w:rPr>
        <w:t>registro único</w:t>
      </w:r>
      <w:r w:rsidRPr="00E96901">
        <w:rPr>
          <w:rFonts w:ascii="Verdana" w:hAnsi="Verdana" w:cs="Arial"/>
          <w:sz w:val="16"/>
          <w:szCs w:val="16"/>
          <w:lang w:val="es-ES"/>
        </w:rPr>
        <w:t xml:space="preserve"> (2)” (BENAVIDES, José Luis. El contrato estatal. Entre el Derecho público y el Derecho privado. 2ª ed. Bogotá: Universidad Externado de Colombia, 2004. p. 278). </w:t>
      </w:r>
    </w:p>
  </w:footnote>
  <w:footnote w:id="11">
    <w:p w14:paraId="30C96CAF" w14:textId="77777777" w:rsidR="00090B08" w:rsidRPr="00E96901" w:rsidRDefault="00090B08" w:rsidP="00090B08">
      <w:pPr>
        <w:pStyle w:val="Textonotapie"/>
        <w:ind w:firstLine="709"/>
        <w:jc w:val="both"/>
        <w:rPr>
          <w:rFonts w:ascii="Verdana" w:hAnsi="Verdana" w:cs="Arial"/>
          <w:sz w:val="16"/>
          <w:szCs w:val="16"/>
        </w:rPr>
      </w:pPr>
      <w:r w:rsidRPr="00E96901">
        <w:rPr>
          <w:rStyle w:val="Refdenotaalpie"/>
          <w:rFonts w:ascii="Verdana" w:hAnsi="Verdana" w:cs="Arial"/>
          <w:sz w:val="16"/>
          <w:szCs w:val="16"/>
        </w:rPr>
        <w:footnoteRef/>
      </w:r>
      <w:r w:rsidRPr="00E96901">
        <w:rPr>
          <w:rFonts w:ascii="Verdana" w:hAnsi="Verdana" w:cs="Arial"/>
          <w:sz w:val="16"/>
          <w:szCs w:val="16"/>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2">
    <w:p w14:paraId="3A5B3C15" w14:textId="77777777" w:rsidR="00090B08" w:rsidRPr="00E96901" w:rsidRDefault="00090B08" w:rsidP="00090B08">
      <w:pPr>
        <w:pStyle w:val="Textonotapie"/>
        <w:ind w:firstLine="709"/>
        <w:jc w:val="both"/>
        <w:rPr>
          <w:rFonts w:ascii="Verdana" w:hAnsi="Verdana" w:cs="Arial"/>
          <w:sz w:val="16"/>
          <w:szCs w:val="16"/>
          <w:lang w:val="es-ES"/>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3">
    <w:p w14:paraId="591CC88B" w14:textId="77777777" w:rsidR="00090B08" w:rsidRPr="00E96901" w:rsidRDefault="00090B08" w:rsidP="00090B08">
      <w:pPr>
        <w:pStyle w:val="Textonotapie"/>
        <w:ind w:firstLine="709"/>
        <w:jc w:val="both"/>
        <w:rPr>
          <w:rFonts w:ascii="Verdana" w:hAnsi="Verdana" w:cs="Arial"/>
          <w:sz w:val="16"/>
          <w:szCs w:val="16"/>
          <w:lang w:val="es-ES"/>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es-ES"/>
        </w:rPr>
        <w:t>Ibídem. p. 69.</w:t>
      </w:r>
    </w:p>
  </w:footnote>
  <w:footnote w:id="14">
    <w:p w14:paraId="4046714F" w14:textId="77777777" w:rsidR="00090B08" w:rsidRPr="00E96901" w:rsidRDefault="00090B08" w:rsidP="00090B08">
      <w:pPr>
        <w:pStyle w:val="Textonotapie"/>
        <w:ind w:firstLine="709"/>
        <w:jc w:val="both"/>
        <w:rPr>
          <w:rFonts w:ascii="Verdana" w:hAnsi="Verdana" w:cs="Arial"/>
          <w:sz w:val="16"/>
          <w:szCs w:val="16"/>
          <w:lang w:val="es-ES"/>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15">
    <w:p w14:paraId="6975C45B" w14:textId="77777777" w:rsidR="00090B08" w:rsidRPr="00E96901" w:rsidRDefault="00090B08" w:rsidP="00090B08">
      <w:pPr>
        <w:pStyle w:val="Textonotapie"/>
        <w:ind w:firstLine="709"/>
        <w:jc w:val="both"/>
        <w:rPr>
          <w:rFonts w:ascii="Verdana" w:hAnsi="Verdana" w:cs="Arial"/>
          <w:sz w:val="16"/>
          <w:szCs w:val="16"/>
          <w:lang w:val="es-ES"/>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es-ES"/>
        </w:rPr>
        <w:t>CONSEJO DE ESTADO. Sala de Consulta y Servicio Civil. Concepto del 30 de abril de 2015. Exp. 2251. C.P. Álvaro Namén Vargas.</w:t>
      </w:r>
    </w:p>
  </w:footnote>
  <w:footnote w:id="16">
    <w:p w14:paraId="65FABD09" w14:textId="77777777" w:rsidR="00090B08" w:rsidRPr="00E96901" w:rsidRDefault="00090B08" w:rsidP="00090B08">
      <w:pPr>
        <w:pStyle w:val="Textonotapie"/>
        <w:ind w:firstLine="709"/>
        <w:jc w:val="both"/>
        <w:rPr>
          <w:rFonts w:ascii="Verdana" w:hAnsi="Verdana" w:cs="Arial"/>
          <w:sz w:val="16"/>
          <w:szCs w:val="16"/>
        </w:rPr>
      </w:pPr>
      <w:r w:rsidRPr="00E96901">
        <w:rPr>
          <w:rStyle w:val="Refdenotaalpie"/>
          <w:rFonts w:ascii="Verdana" w:hAnsi="Verdana" w:cs="Arial"/>
          <w:sz w:val="16"/>
          <w:szCs w:val="16"/>
        </w:rPr>
        <w:footnoteRef/>
      </w:r>
      <w:r w:rsidRPr="00E96901">
        <w:rPr>
          <w:rFonts w:ascii="Verdana" w:hAnsi="Verdana" w:cs="Arial"/>
          <w:sz w:val="16"/>
          <w:szCs w:val="16"/>
        </w:rPr>
        <w:t xml:space="preserve"> CONSEJO DE ESTADO. Sección Tercera. Subsección A. Sentencia del 24 de junio de 2015. Exp. 40.635. C.P. Hernán Andrade Rincón (E).</w:t>
      </w:r>
    </w:p>
  </w:footnote>
  <w:footnote w:id="17">
    <w:p w14:paraId="5F32E446" w14:textId="77777777" w:rsidR="00090B08" w:rsidRPr="00E96901" w:rsidRDefault="00090B08" w:rsidP="00090B08">
      <w:pPr>
        <w:pStyle w:val="Textonotapie"/>
        <w:ind w:firstLine="709"/>
        <w:jc w:val="both"/>
        <w:rPr>
          <w:rFonts w:ascii="Verdana" w:hAnsi="Verdana" w:cs="Arial"/>
          <w:sz w:val="16"/>
          <w:szCs w:val="16"/>
          <w:lang w:val="es-ES_tradnl"/>
        </w:rPr>
      </w:pPr>
      <w:r w:rsidRPr="00E96901">
        <w:rPr>
          <w:rStyle w:val="Refdenotaalpie"/>
          <w:rFonts w:ascii="Verdana" w:hAnsi="Verdana" w:cs="Arial"/>
          <w:sz w:val="16"/>
          <w:szCs w:val="16"/>
        </w:rPr>
        <w:footnoteRef/>
      </w:r>
      <w:r w:rsidRPr="00E96901">
        <w:rPr>
          <w:rFonts w:ascii="Verdana" w:hAnsi="Verdana" w:cs="Arial"/>
          <w:sz w:val="16"/>
          <w:szCs w:val="16"/>
        </w:rPr>
        <w:t xml:space="preserve"> CONSEJO DE ESTADO. Sección Tercera. Subsección C. Sentencia del 22 de mayo de 2013. Rad. 24.057. C.P. Olga Mélida Valle De De La Hoz. </w:t>
      </w:r>
    </w:p>
  </w:footnote>
  <w:footnote w:id="18">
    <w:p w14:paraId="3E6C41BF" w14:textId="77777777" w:rsidR="00090B08" w:rsidRPr="00E96901" w:rsidRDefault="00090B08" w:rsidP="00090B08">
      <w:pPr>
        <w:pStyle w:val="Textonotapie"/>
        <w:ind w:firstLine="709"/>
        <w:jc w:val="both"/>
        <w:rPr>
          <w:rFonts w:ascii="Verdana" w:hAnsi="Verdana" w:cs="Arial"/>
          <w:sz w:val="16"/>
          <w:szCs w:val="16"/>
          <w:lang w:val="pt-BR"/>
        </w:rPr>
      </w:pPr>
      <w:r w:rsidRPr="00E96901">
        <w:rPr>
          <w:rStyle w:val="Refdenotaalpie"/>
          <w:rFonts w:ascii="Verdana" w:hAnsi="Verdana" w:cs="Arial"/>
          <w:sz w:val="16"/>
          <w:szCs w:val="16"/>
        </w:rPr>
        <w:footnoteRef/>
      </w:r>
      <w:r w:rsidRPr="00E96901">
        <w:rPr>
          <w:rFonts w:ascii="Verdana" w:hAnsi="Verdana" w:cs="Arial"/>
          <w:sz w:val="16"/>
          <w:szCs w:val="16"/>
        </w:rPr>
        <w:t xml:space="preserve"> </w:t>
      </w:r>
      <w:r w:rsidRPr="00E96901">
        <w:rPr>
          <w:rFonts w:ascii="Verdana" w:hAnsi="Verdana" w:cs="Arial"/>
          <w:sz w:val="16"/>
          <w:szCs w:val="16"/>
          <w:lang w:val="pt-BR"/>
        </w:rPr>
        <w:t>Corte Constitucional. Sentencia C-415 de 1994. M.P. Eduardo Cifuentes Muñoz.</w:t>
      </w:r>
    </w:p>
  </w:footnote>
  <w:footnote w:id="19">
    <w:p w14:paraId="5A2320F0" w14:textId="77777777" w:rsidR="00090B08" w:rsidRPr="005366FC" w:rsidRDefault="00090B08" w:rsidP="00090B08">
      <w:pPr>
        <w:pStyle w:val="Textonotapie"/>
        <w:ind w:firstLine="708"/>
        <w:jc w:val="both"/>
        <w:rPr>
          <w:rFonts w:ascii="Verdana" w:hAnsi="Verdana"/>
          <w:sz w:val="16"/>
          <w:szCs w:val="16"/>
          <w:lang w:val="es-ES_tradnl"/>
        </w:rPr>
      </w:pPr>
      <w:r w:rsidRPr="005366FC">
        <w:rPr>
          <w:rStyle w:val="Refdenotaalpie"/>
          <w:rFonts w:ascii="Verdana" w:hAnsi="Verdana"/>
          <w:sz w:val="16"/>
          <w:szCs w:val="16"/>
        </w:rPr>
        <w:footnoteRef/>
      </w:r>
      <w:r w:rsidRPr="00090B08">
        <w:rPr>
          <w:rFonts w:ascii="Verdana" w:hAnsi="Verdana"/>
          <w:sz w:val="16"/>
          <w:szCs w:val="16"/>
          <w:lang w:val="es-CO"/>
        </w:rPr>
        <w:t xml:space="preserve"> RAMÍREZ </w:t>
      </w:r>
      <w:r w:rsidRPr="005366FC">
        <w:rPr>
          <w:rFonts w:ascii="Verdana" w:hAnsi="Verdana"/>
          <w:sz w:val="16"/>
          <w:szCs w:val="16"/>
          <w:lang w:val="es-ES_tradnl"/>
        </w:rPr>
        <w:t>GRISALES, Richard Steve. La cesión.</w:t>
      </w:r>
      <w:r>
        <w:rPr>
          <w:rFonts w:ascii="Verdana" w:hAnsi="Verdana"/>
          <w:sz w:val="16"/>
          <w:szCs w:val="16"/>
          <w:lang w:val="es-ES_tradnl"/>
        </w:rPr>
        <w:t xml:space="preserve"> Medellín: Librería Jurídica Sánchez R LTDA – Centro de Estudios de Derecho Administrativo, 2014.</w:t>
      </w:r>
      <w:r w:rsidRPr="005366FC">
        <w:rPr>
          <w:rFonts w:ascii="Verdana" w:hAnsi="Verdana"/>
          <w:sz w:val="16"/>
          <w:szCs w:val="16"/>
          <w:lang w:val="es-ES_tradnl"/>
        </w:rPr>
        <w:t xml:space="preserve"> p.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B836" w14:textId="0221725C" w:rsidR="00F564E1" w:rsidRDefault="00F564E1">
    <w:pPr>
      <w:pStyle w:val="Encabezado"/>
    </w:pPr>
    <w:r>
      <w:rPr>
        <w:noProof/>
      </w:rPr>
      <w:pict w14:anchorId="52F45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90391" o:spid="_x0000_s1026" type="#_x0000_t136" style="position:absolute;margin-left:0;margin-top:0;width:551.1pt;height:71.85pt;rotation:315;z-index:-251654143;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C1D9" w14:textId="307EC0B1" w:rsidR="00756841" w:rsidRDefault="00F564E1">
    <w:pPr>
      <w:pStyle w:val="Encabezado"/>
    </w:pPr>
    <w:r>
      <w:rPr>
        <w:noProof/>
      </w:rPr>
      <w:pict w14:anchorId="74F32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90392" o:spid="_x0000_s1027" type="#_x0000_t136" style="position:absolute;margin-left:0;margin-top:0;width:551.1pt;height:71.85pt;rotation:315;z-index:-251652095;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58241" behindDoc="1" locked="0" layoutInCell="1" allowOverlap="1" wp14:anchorId="33DC568C" wp14:editId="26F100CB">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06B82D9D" wp14:editId="62BA868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322425A" w14:textId="77777777" w:rsidR="00756841" w:rsidRDefault="00756841">
    <w:pPr>
      <w:pStyle w:val="Encabezado"/>
    </w:pPr>
  </w:p>
  <w:p w14:paraId="44584A17" w14:textId="77777777" w:rsidR="00DC39FC" w:rsidRDefault="00DC39FC" w:rsidP="004A305D">
    <w:pPr>
      <w:spacing w:after="0"/>
      <w:rPr>
        <w:rFonts w:ascii="Verdana" w:hAnsi="Verdana"/>
        <w:b/>
        <w:bCs/>
      </w:rPr>
    </w:pPr>
  </w:p>
  <w:p w14:paraId="0A1F3491" w14:textId="77777777" w:rsidR="004A305D" w:rsidRPr="00DC39FC" w:rsidRDefault="004A305D" w:rsidP="004A305D">
    <w:pPr>
      <w:spacing w:after="0"/>
      <w:rPr>
        <w:rFonts w:ascii="Verdana" w:hAnsi="Verdana"/>
        <w:b/>
        <w:bCs/>
      </w:rPr>
    </w:pPr>
    <w:r w:rsidRPr="00DC39FC">
      <w:rPr>
        <w:rFonts w:ascii="Verdana" w:hAnsi="Verdana"/>
        <w:b/>
        <w:bCs/>
      </w:rPr>
      <w:t>FORMATO PQRSD</w:t>
    </w:r>
  </w:p>
  <w:p w14:paraId="6A305AD7" w14:textId="77777777" w:rsidR="004A305D" w:rsidRPr="004A305D" w:rsidRDefault="004A305D" w:rsidP="00B01B1A">
    <w:pPr>
      <w:spacing w:after="0" w:line="120" w:lineRule="auto"/>
      <w:rPr>
        <w:rFonts w:ascii="Century Gothic" w:eastAsia="Geo" w:hAnsi="Century Gothic" w:cs="Geo"/>
        <w:sz w:val="16"/>
        <w:szCs w:val="16"/>
        <w:lang w:eastAsia="es-CO"/>
      </w:rPr>
    </w:pPr>
  </w:p>
  <w:p w14:paraId="5C19E4D6" w14:textId="77777777"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B1AC" w14:textId="73389BCF" w:rsidR="00F564E1" w:rsidRDefault="00F564E1">
    <w:pPr>
      <w:pStyle w:val="Encabezado"/>
    </w:pPr>
    <w:r>
      <w:rPr>
        <w:noProof/>
      </w:rPr>
      <w:pict w14:anchorId="0ED09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90390" o:spid="_x0000_s1025" type="#_x0000_t136" style="position:absolute;margin-left:0;margin-top:0;width:551.1pt;height:71.85pt;rotation:315;z-index:-251656191;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12D0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75760743" o:spid="_x0000_i1025" type="#_x0000_t75" style="width:11.25pt;height:11.25pt;visibility:visible;mso-wrap-style:square">
            <v:imagedata r:id="rId1" o:title=""/>
          </v:shape>
        </w:pict>
      </mc:Choice>
      <mc:Fallback>
        <w:drawing>
          <wp:inline distT="0" distB="0" distL="0" distR="0" wp14:anchorId="09AC147D" wp14:editId="299AB30A">
            <wp:extent cx="142875" cy="142875"/>
            <wp:effectExtent l="0" t="0" r="0" b="0"/>
            <wp:docPr id="1275760743" name="Imagen 127576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0B51"/>
    <w:rsid w:val="00046945"/>
    <w:rsid w:val="00061B2A"/>
    <w:rsid w:val="00082362"/>
    <w:rsid w:val="00090B08"/>
    <w:rsid w:val="000A683E"/>
    <w:rsid w:val="000B19B9"/>
    <w:rsid w:val="000D0334"/>
    <w:rsid w:val="000F6486"/>
    <w:rsid w:val="00125105"/>
    <w:rsid w:val="00127233"/>
    <w:rsid w:val="00140AD7"/>
    <w:rsid w:val="001511A0"/>
    <w:rsid w:val="001E4177"/>
    <w:rsid w:val="001F7DC6"/>
    <w:rsid w:val="002421BB"/>
    <w:rsid w:val="0025796E"/>
    <w:rsid w:val="002604F9"/>
    <w:rsid w:val="002707A2"/>
    <w:rsid w:val="002951A0"/>
    <w:rsid w:val="002962BC"/>
    <w:rsid w:val="002A093D"/>
    <w:rsid w:val="002A0DD0"/>
    <w:rsid w:val="002A49AC"/>
    <w:rsid w:val="002A64FD"/>
    <w:rsid w:val="002C7A84"/>
    <w:rsid w:val="002E0AC7"/>
    <w:rsid w:val="002E4FD9"/>
    <w:rsid w:val="00307D5D"/>
    <w:rsid w:val="00322A85"/>
    <w:rsid w:val="00324168"/>
    <w:rsid w:val="00334118"/>
    <w:rsid w:val="00342008"/>
    <w:rsid w:val="003448F4"/>
    <w:rsid w:val="00344C1D"/>
    <w:rsid w:val="00371BB6"/>
    <w:rsid w:val="00374F5E"/>
    <w:rsid w:val="00377E3E"/>
    <w:rsid w:val="003A779E"/>
    <w:rsid w:val="003D0F4D"/>
    <w:rsid w:val="003D5B0D"/>
    <w:rsid w:val="003E0499"/>
    <w:rsid w:val="003F3941"/>
    <w:rsid w:val="00406575"/>
    <w:rsid w:val="00412262"/>
    <w:rsid w:val="00414C74"/>
    <w:rsid w:val="0042722E"/>
    <w:rsid w:val="00444723"/>
    <w:rsid w:val="0044528D"/>
    <w:rsid w:val="004668F1"/>
    <w:rsid w:val="00477C77"/>
    <w:rsid w:val="00486C0C"/>
    <w:rsid w:val="00486DC8"/>
    <w:rsid w:val="004A1847"/>
    <w:rsid w:val="004A305D"/>
    <w:rsid w:val="004B6FB1"/>
    <w:rsid w:val="004F0B7F"/>
    <w:rsid w:val="004F21C4"/>
    <w:rsid w:val="004F685F"/>
    <w:rsid w:val="00535BCA"/>
    <w:rsid w:val="005566E8"/>
    <w:rsid w:val="00562A0D"/>
    <w:rsid w:val="00574867"/>
    <w:rsid w:val="00591460"/>
    <w:rsid w:val="005A360D"/>
    <w:rsid w:val="005B3816"/>
    <w:rsid w:val="005C3777"/>
    <w:rsid w:val="005C5CDC"/>
    <w:rsid w:val="005D476C"/>
    <w:rsid w:val="006219F8"/>
    <w:rsid w:val="00641627"/>
    <w:rsid w:val="00654F3F"/>
    <w:rsid w:val="00665D70"/>
    <w:rsid w:val="006900D9"/>
    <w:rsid w:val="006A0721"/>
    <w:rsid w:val="00706C16"/>
    <w:rsid w:val="00756841"/>
    <w:rsid w:val="007649AB"/>
    <w:rsid w:val="00771D0C"/>
    <w:rsid w:val="007833AC"/>
    <w:rsid w:val="00793A57"/>
    <w:rsid w:val="007B268C"/>
    <w:rsid w:val="007B7171"/>
    <w:rsid w:val="007C0C0F"/>
    <w:rsid w:val="007C1F99"/>
    <w:rsid w:val="007C3858"/>
    <w:rsid w:val="007C3DC2"/>
    <w:rsid w:val="007C5618"/>
    <w:rsid w:val="007E5497"/>
    <w:rsid w:val="00806F5F"/>
    <w:rsid w:val="00820278"/>
    <w:rsid w:val="00831B17"/>
    <w:rsid w:val="00836642"/>
    <w:rsid w:val="00867F95"/>
    <w:rsid w:val="008843B6"/>
    <w:rsid w:val="00891928"/>
    <w:rsid w:val="008971B3"/>
    <w:rsid w:val="008A446D"/>
    <w:rsid w:val="008D180B"/>
    <w:rsid w:val="008F0EA7"/>
    <w:rsid w:val="00923EEF"/>
    <w:rsid w:val="009352BE"/>
    <w:rsid w:val="009419F9"/>
    <w:rsid w:val="0095685E"/>
    <w:rsid w:val="00961B09"/>
    <w:rsid w:val="00965334"/>
    <w:rsid w:val="0097093E"/>
    <w:rsid w:val="00986AC5"/>
    <w:rsid w:val="009A0DFA"/>
    <w:rsid w:val="009B2D26"/>
    <w:rsid w:val="009C01A6"/>
    <w:rsid w:val="009C71FA"/>
    <w:rsid w:val="009C72E7"/>
    <w:rsid w:val="009D3058"/>
    <w:rsid w:val="009E7FC1"/>
    <w:rsid w:val="009F2B03"/>
    <w:rsid w:val="009F3A13"/>
    <w:rsid w:val="00A122D3"/>
    <w:rsid w:val="00A17F13"/>
    <w:rsid w:val="00A20739"/>
    <w:rsid w:val="00A33C78"/>
    <w:rsid w:val="00A57BD4"/>
    <w:rsid w:val="00AB0ADB"/>
    <w:rsid w:val="00B01B1A"/>
    <w:rsid w:val="00B66319"/>
    <w:rsid w:val="00B72CD3"/>
    <w:rsid w:val="00B72FFF"/>
    <w:rsid w:val="00B90A61"/>
    <w:rsid w:val="00BA470D"/>
    <w:rsid w:val="00BC3D36"/>
    <w:rsid w:val="00BC62FA"/>
    <w:rsid w:val="00BD7F72"/>
    <w:rsid w:val="00BE0BF4"/>
    <w:rsid w:val="00BF4117"/>
    <w:rsid w:val="00C04FB3"/>
    <w:rsid w:val="00C330EB"/>
    <w:rsid w:val="00C37E64"/>
    <w:rsid w:val="00C41061"/>
    <w:rsid w:val="00C42FD8"/>
    <w:rsid w:val="00C52EC8"/>
    <w:rsid w:val="00C754BE"/>
    <w:rsid w:val="00C76B1C"/>
    <w:rsid w:val="00CB6357"/>
    <w:rsid w:val="00CC1B26"/>
    <w:rsid w:val="00D232A5"/>
    <w:rsid w:val="00D423A2"/>
    <w:rsid w:val="00D520D8"/>
    <w:rsid w:val="00D63AC2"/>
    <w:rsid w:val="00D7383B"/>
    <w:rsid w:val="00DA1849"/>
    <w:rsid w:val="00DA231B"/>
    <w:rsid w:val="00DB3671"/>
    <w:rsid w:val="00DC39FC"/>
    <w:rsid w:val="00DF5254"/>
    <w:rsid w:val="00E16408"/>
    <w:rsid w:val="00E20894"/>
    <w:rsid w:val="00E245AB"/>
    <w:rsid w:val="00E2741E"/>
    <w:rsid w:val="00E2764C"/>
    <w:rsid w:val="00E27F2E"/>
    <w:rsid w:val="00E43CFC"/>
    <w:rsid w:val="00E50AFE"/>
    <w:rsid w:val="00E75C92"/>
    <w:rsid w:val="00E771DC"/>
    <w:rsid w:val="00E81C4E"/>
    <w:rsid w:val="00E8772A"/>
    <w:rsid w:val="00E90F6B"/>
    <w:rsid w:val="00E92C27"/>
    <w:rsid w:val="00EA0E3D"/>
    <w:rsid w:val="00EC38A7"/>
    <w:rsid w:val="00EC5C6A"/>
    <w:rsid w:val="00ED7384"/>
    <w:rsid w:val="00EE1AA8"/>
    <w:rsid w:val="00F31EDC"/>
    <w:rsid w:val="00F462B3"/>
    <w:rsid w:val="00F564E1"/>
    <w:rsid w:val="00F5664F"/>
    <w:rsid w:val="00F666C4"/>
    <w:rsid w:val="00F7566A"/>
    <w:rsid w:val="00F76AFC"/>
    <w:rsid w:val="00FA47C0"/>
    <w:rsid w:val="00FB1005"/>
    <w:rsid w:val="00FB5DD1"/>
    <w:rsid w:val="00FC2B5D"/>
    <w:rsid w:val="00FF1449"/>
    <w:rsid w:val="0A941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C7BA"/>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90B0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90B08"/>
    <w:rPr>
      <w:rFonts w:ascii="Geomanist Light" w:hAnsi="Geomanist Light"/>
      <w:lang w:val="es-ES"/>
    </w:rPr>
  </w:style>
  <w:style w:type="character" w:customStyle="1" w:styleId="NormalWebCar">
    <w:name w:val="Normal (Web) Car"/>
    <w:link w:val="NormalWeb"/>
    <w:uiPriority w:val="99"/>
    <w:rsid w:val="00090B08"/>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090B0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manuales-guias-y-pliegos-tipo%2Fmanuales-y-guias%2Fguia-para-incentivar-la-participacion-de-las-mujeres&amp;data=05%7C02%7Cjuan.montoya%40colombiacompra.gov.co%7C925ae1c2336243aecb2908dd21173dd2%7C7b09041e245149d08cb179d5e3d8c1be%7C0%7C0%7C638703105895204231%7CUnknown%7CTWFpbGZsb3d8eyJFbXB0eU1hcGkiOnRydWUsIlYiOiIwLjAuMDAwMCIsIlAiOiJXaW4zMiIsIkFOIjoiTWFpbCIsIldUIjoyfQ%3D%3D%7C0%7C%7C%7C&amp;sdata=FVxVRA1OLrYs0kToF8HEu4D%2BSXkwN%2BKPRARSi4Pk574%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manuales-guias-y-pliegos-tipo%2Fmanuales-y-guias%2Fguia-para-el-manejo-de-ofertas-artificialmente-baja-0&amp;data=05%7C02%7Cjuan.montoya%40colombiacompra.gov.co%7C925ae1c2336243aecb2908dd21173dd2%7C7b09041e245149d08cb179d5e3d8c1be%7C0%7C0%7C638703105895182015%7CUnknown%7CTWFpbGZsb3d8eyJFbXB0eU1hcGkiOnRydWUsIlYiOiIwLjAuMDAwMCIsIlAiOiJXaW4zMiIsIkFOIjoiTWFpbCIsIldUIjoyfQ%3D%3D%7C0%7C%7C%7C&amp;sdata=HlGFbtWnhxQQFe3ygDSyPlK2cdKe1Ks6vhc65aNB0FU%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viii.pdf&amp;data=05%7C02%7Cjuan.montoya%40colombiacompra.gov.co%7C925ae1c2336243aecb2908dd21173dd2%7C7b09041e245149d08cb179d5e3d8c1be%7C0%7C0%7C638703105895220768%7CUnknown%7CTWFpbGZsb3d8eyJFbXB0eU1hcGkiOnRydWUsIlYiOiIwLjAuMDAwMCIsIlAiOiJXaW4zMiIsIkFOIjoiTWFpbCIsIldUIjoyfQ%3D%3D%7C0%7C%7C%7C&amp;sdata=qNBG%2BaYTy3VBiBSkZN4PWqvfCyO9k4rvo2wl3QqpAW8%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BDDF183-4A48-413B-8C3A-27E490C5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5451</Words>
  <Characters>29984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4</cp:revision>
  <cp:lastPrinted>2023-01-10T21:18:00Z</cp:lastPrinted>
  <dcterms:created xsi:type="dcterms:W3CDTF">2025-02-20T15:38:00Z</dcterms:created>
  <dcterms:modified xsi:type="dcterms:W3CDTF">2025-03-21T12:59:00Z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