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6F56" w14:textId="77777777" w:rsidR="00195A45" w:rsidRPr="00A775AE" w:rsidRDefault="00195A45" w:rsidP="00195A45">
      <w:pPr>
        <w:spacing w:after="0" w:line="240" w:lineRule="auto"/>
        <w:jc w:val="both"/>
        <w:rPr>
          <w:rFonts w:ascii="Verdana" w:hAnsi="Verdana" w:cs="Arial"/>
          <w:b/>
          <w:sz w:val="20"/>
          <w:szCs w:val="20"/>
        </w:rPr>
      </w:pPr>
      <w:bookmarkStart w:id="0" w:name="_Hlk143780582"/>
      <w:r w:rsidRPr="00A775AE">
        <w:rPr>
          <w:rFonts w:ascii="Verdana" w:eastAsia="Calibri" w:hAnsi="Verdana" w:cs="Arial"/>
          <w:b/>
          <w:bCs/>
          <w:sz w:val="20"/>
          <w:szCs w:val="20"/>
        </w:rPr>
        <w:t xml:space="preserve">DOCUMENTOS TIPO </w:t>
      </w:r>
      <w:r w:rsidRPr="00A775AE">
        <w:rPr>
          <w:rFonts w:ascii="Verdana" w:hAnsi="Verdana" w:cs="Arial"/>
          <w:b/>
          <w:sz w:val="20"/>
          <w:szCs w:val="20"/>
        </w:rPr>
        <w:t>– Fundamento normativo – Generalidades</w:t>
      </w:r>
    </w:p>
    <w:p w14:paraId="57CDFFBF" w14:textId="77777777" w:rsidR="00195A45" w:rsidRPr="00A775AE" w:rsidRDefault="00195A45" w:rsidP="00195A45">
      <w:pPr>
        <w:spacing w:after="0" w:line="240" w:lineRule="auto"/>
        <w:jc w:val="both"/>
        <w:rPr>
          <w:rFonts w:ascii="Verdana" w:eastAsia="Calibri" w:hAnsi="Verdana" w:cs="Arial"/>
          <w:b/>
          <w:bCs/>
          <w:sz w:val="20"/>
          <w:szCs w:val="20"/>
        </w:rPr>
      </w:pPr>
    </w:p>
    <w:p w14:paraId="14D9237F" w14:textId="77777777" w:rsidR="00195A45" w:rsidRDefault="00195A45" w:rsidP="00195A45">
      <w:pPr>
        <w:spacing w:after="0" w:line="240" w:lineRule="auto"/>
        <w:jc w:val="both"/>
        <w:rPr>
          <w:rFonts w:ascii="Verdana" w:eastAsia="Calibri" w:hAnsi="Verdana" w:cs="Arial"/>
          <w:sz w:val="20"/>
          <w:szCs w:val="20"/>
          <w:lang w:val="es-ES_tradnl"/>
        </w:rPr>
      </w:pPr>
      <w:r w:rsidRPr="00A775AE">
        <w:rPr>
          <w:rFonts w:ascii="Verdana" w:eastAsia="Calibri" w:hAnsi="Verdana" w:cs="Arial"/>
          <w:sz w:val="20"/>
          <w:szCs w:val="20"/>
          <w:lang w:val="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facultad que no ha sido ejercida hasta la actualidad. 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Pr>
          <w:rFonts w:ascii="Verdana" w:eastAsia="Calibri" w:hAnsi="Verdana" w:cs="Arial"/>
          <w:sz w:val="20"/>
          <w:szCs w:val="20"/>
          <w:lang w:val="es-ES_tradnl"/>
        </w:rPr>
        <w:t>.</w:t>
      </w:r>
    </w:p>
    <w:p w14:paraId="69338232" w14:textId="77777777" w:rsidR="00195A45" w:rsidRDefault="00195A45" w:rsidP="00195A45">
      <w:pPr>
        <w:spacing w:after="0" w:line="240" w:lineRule="auto"/>
        <w:jc w:val="both"/>
        <w:rPr>
          <w:rFonts w:ascii="Verdana" w:eastAsia="Calibri" w:hAnsi="Verdana" w:cs="Arial"/>
          <w:sz w:val="20"/>
          <w:szCs w:val="20"/>
          <w:lang w:val="es-ES_tradnl"/>
        </w:rPr>
      </w:pPr>
    </w:p>
    <w:p w14:paraId="7816A7CE" w14:textId="77777777" w:rsidR="00195A45" w:rsidRPr="00B2646F" w:rsidRDefault="00195A45" w:rsidP="00195A45">
      <w:pPr>
        <w:spacing w:before="120" w:after="120" w:line="276" w:lineRule="auto"/>
        <w:jc w:val="both"/>
        <w:rPr>
          <w:rFonts w:ascii="Verdana" w:eastAsia="Times New Roman" w:hAnsi="Verdana" w:cs="Arial"/>
          <w:b/>
          <w:color w:val="000000" w:themeColor="text1"/>
          <w:lang w:val="es-ES_tradnl" w:eastAsia="es-ES_tradnl"/>
        </w:rPr>
      </w:pPr>
      <w:r w:rsidRPr="00B2646F">
        <w:rPr>
          <w:rFonts w:ascii="Verdana" w:eastAsia="Times New Roman" w:hAnsi="Verdana" w:cs="Arial"/>
          <w:b/>
          <w:color w:val="000000" w:themeColor="text1"/>
          <w:lang w:val="es-ES_tradnl" w:eastAsia="es-ES_tradnl"/>
        </w:rPr>
        <w:t xml:space="preserve">DOCUMENTOS TIPO – Formulario 1 – Presupuesto Oficial – Propuesta económica </w:t>
      </w:r>
    </w:p>
    <w:p w14:paraId="18307C67" w14:textId="77777777" w:rsidR="00195A45" w:rsidRPr="00B2646F" w:rsidRDefault="00195A45" w:rsidP="00195A45">
      <w:pPr>
        <w:spacing w:after="0" w:line="240" w:lineRule="auto"/>
        <w:jc w:val="both"/>
        <w:rPr>
          <w:rFonts w:ascii="Verdana" w:eastAsia="Times New Roman" w:hAnsi="Verdana" w:cs="Arial"/>
          <w:sz w:val="20"/>
          <w:szCs w:val="20"/>
          <w:lang w:val="es-ES" w:eastAsia="es-ES_tradnl"/>
        </w:rPr>
      </w:pPr>
      <w:r w:rsidRPr="00B2646F">
        <w:rPr>
          <w:rFonts w:ascii="Verdana" w:eastAsia="Times New Roman" w:hAnsi="Verdana" w:cs="Arial"/>
          <w:sz w:val="20"/>
          <w:szCs w:val="20"/>
          <w:lang w:val="es-ES" w:eastAsia="es-ES_tradnl"/>
        </w:rPr>
        <w:t xml:space="preserve">[…] para los procesos de licitación pública, selección abreviada de menor cuantía y mínima cuantía de infraestructura de transporte, contemplan el “Formulario 1 - Formulario de Presupuesto Oficial”, empleado por la entidad para elaborar y presentar el presupuesto oficial, y mediante el cual el proponente estructura la oferta económica. </w:t>
      </w:r>
    </w:p>
    <w:p w14:paraId="17214AEB" w14:textId="77777777" w:rsidR="00195A45" w:rsidRPr="00B2646F" w:rsidRDefault="00195A45" w:rsidP="00195A45">
      <w:pPr>
        <w:spacing w:after="0" w:line="240" w:lineRule="auto"/>
        <w:jc w:val="both"/>
        <w:rPr>
          <w:rFonts w:ascii="Verdana" w:eastAsia="Times New Roman" w:hAnsi="Verdana" w:cs="Arial"/>
          <w:sz w:val="20"/>
          <w:szCs w:val="20"/>
          <w:lang w:val="es-ES" w:eastAsia="es-ES_tradnl"/>
        </w:rPr>
      </w:pPr>
    </w:p>
    <w:p w14:paraId="7343E87E" w14:textId="77777777" w:rsidR="00195A45" w:rsidRPr="00B2646F" w:rsidRDefault="00195A45" w:rsidP="00195A45">
      <w:pPr>
        <w:spacing w:after="0" w:line="240" w:lineRule="auto"/>
        <w:jc w:val="both"/>
        <w:rPr>
          <w:rFonts w:ascii="Verdana" w:eastAsia="Times New Roman" w:hAnsi="Verdana" w:cs="Arial"/>
          <w:sz w:val="20"/>
          <w:szCs w:val="20"/>
          <w:lang w:val="es-ES" w:eastAsia="es-ES_tradnl"/>
        </w:rPr>
      </w:pPr>
      <w:r w:rsidRPr="00B2646F">
        <w:rPr>
          <w:rFonts w:ascii="Verdana" w:eastAsia="Times New Roman" w:hAnsi="Verdana" w:cs="Arial"/>
          <w:sz w:val="20"/>
          <w:szCs w:val="20"/>
          <w:lang w:val="es-ES" w:eastAsia="es-ES_tradnl"/>
        </w:rPr>
        <w:t xml:space="preserve">El “Formulario 1 – Formulario de Presupuesto Oficial” tiene dos connotaciones: i) por un lado, es el formulario sobre el cual la entidad estructura y presenta el presupuesto oficial del procedimiento de contratación; y </w:t>
      </w:r>
      <w:proofErr w:type="spellStart"/>
      <w:r w:rsidRPr="00B2646F">
        <w:rPr>
          <w:rFonts w:ascii="Verdana" w:eastAsia="Times New Roman" w:hAnsi="Verdana" w:cs="Arial"/>
          <w:sz w:val="20"/>
          <w:szCs w:val="20"/>
          <w:lang w:val="es-ES" w:eastAsia="es-ES_tradnl"/>
        </w:rPr>
        <w:t>ii</w:t>
      </w:r>
      <w:proofErr w:type="spellEnd"/>
      <w:r w:rsidRPr="00B2646F">
        <w:rPr>
          <w:rFonts w:ascii="Verdana" w:eastAsia="Times New Roman" w:hAnsi="Verdana" w:cs="Arial"/>
          <w:sz w:val="20"/>
          <w:szCs w:val="20"/>
          <w:lang w:val="es-ES" w:eastAsia="es-ES_tradnl"/>
        </w:rPr>
        <w:t>)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0F3B22C9" w14:textId="77777777" w:rsidR="00195A45" w:rsidRPr="00B2646F" w:rsidRDefault="00195A45" w:rsidP="00195A45">
      <w:pPr>
        <w:spacing w:after="0" w:line="240" w:lineRule="auto"/>
        <w:jc w:val="both"/>
        <w:rPr>
          <w:rFonts w:ascii="Verdana" w:eastAsia="Times New Roman" w:hAnsi="Verdana" w:cs="Arial"/>
          <w:sz w:val="20"/>
          <w:szCs w:val="20"/>
          <w:lang w:val="es-ES" w:eastAsia="es-ES_tradnl"/>
        </w:rPr>
      </w:pPr>
    </w:p>
    <w:p w14:paraId="6AB239FB" w14:textId="77777777" w:rsidR="00195A45" w:rsidRPr="00B2646F" w:rsidRDefault="00195A45" w:rsidP="00195A45">
      <w:pPr>
        <w:spacing w:before="120" w:after="120" w:line="276" w:lineRule="auto"/>
        <w:jc w:val="both"/>
        <w:rPr>
          <w:rFonts w:ascii="Verdana" w:eastAsia="Times New Roman" w:hAnsi="Verdana" w:cs="Arial"/>
          <w:b/>
          <w:color w:val="000000" w:themeColor="text1"/>
          <w:lang w:val="es-ES_tradnl" w:eastAsia="es-ES_tradnl"/>
        </w:rPr>
      </w:pPr>
      <w:r w:rsidRPr="00B2646F">
        <w:rPr>
          <w:rFonts w:ascii="Verdana" w:eastAsia="Times New Roman" w:hAnsi="Verdana" w:cs="Arial"/>
          <w:b/>
          <w:color w:val="000000" w:themeColor="text1"/>
          <w:lang w:val="es-ES_tradnl" w:eastAsia="es-ES_tradnl"/>
        </w:rPr>
        <w:t>FORMULARIO 1 – Formulario de presupuesto oficial – Inalterabilidad – Notas 1, 2 y 3 – Componentes del AIU</w:t>
      </w:r>
    </w:p>
    <w:p w14:paraId="52673E87" w14:textId="77777777" w:rsidR="00195A45" w:rsidRPr="00CD4AFD" w:rsidRDefault="00195A45" w:rsidP="00195A45">
      <w:pPr>
        <w:spacing w:after="0" w:line="240" w:lineRule="auto"/>
        <w:jc w:val="both"/>
        <w:rPr>
          <w:rFonts w:ascii="Verdana" w:eastAsia="Times New Roman" w:hAnsi="Verdana" w:cs="Arial"/>
          <w:sz w:val="20"/>
          <w:szCs w:val="20"/>
          <w:lang w:val="es-ES" w:eastAsia="es-ES_tradnl"/>
        </w:rPr>
      </w:pPr>
      <w:r w:rsidRPr="00B2646F">
        <w:rPr>
          <w:rFonts w:ascii="Verdana" w:eastAsia="Times New Roman" w:hAnsi="Verdana" w:cs="Arial"/>
          <w:sz w:val="20"/>
          <w:szCs w:val="20"/>
          <w:lang w:val="es-ES" w:eastAsia="es-ES_tradnl"/>
        </w:rPr>
        <w:t xml:space="preserve">[…] en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w:t>
      </w:r>
      <w:proofErr w:type="spellStart"/>
      <w:r w:rsidRPr="00B2646F">
        <w:rPr>
          <w:rFonts w:ascii="Verdana" w:eastAsia="Times New Roman" w:hAnsi="Verdana" w:cs="Arial"/>
          <w:sz w:val="20"/>
          <w:szCs w:val="20"/>
          <w:lang w:val="es-ES" w:eastAsia="es-ES_tradnl"/>
        </w:rPr>
        <w:t>ii</w:t>
      </w:r>
      <w:proofErr w:type="spellEnd"/>
      <w:r w:rsidRPr="00B2646F">
        <w:rPr>
          <w:rFonts w:ascii="Verdana" w:eastAsia="Times New Roman" w:hAnsi="Verdana" w:cs="Arial"/>
          <w:sz w:val="20"/>
          <w:szCs w:val="20"/>
          <w:lang w:val="es-ES" w:eastAsia="es-ES_tradnl"/>
        </w:rPr>
        <w:t xml:space="preserve">) imprevistos y </w:t>
      </w:r>
      <w:proofErr w:type="spellStart"/>
      <w:r w:rsidRPr="00B2646F">
        <w:rPr>
          <w:rFonts w:ascii="Verdana" w:eastAsia="Times New Roman" w:hAnsi="Verdana" w:cs="Arial"/>
          <w:sz w:val="20"/>
          <w:szCs w:val="20"/>
          <w:lang w:val="es-ES" w:eastAsia="es-ES_tradnl"/>
        </w:rPr>
        <w:t>iii</w:t>
      </w:r>
      <w:proofErr w:type="spellEnd"/>
      <w:r w:rsidRPr="00B2646F">
        <w:rPr>
          <w:rFonts w:ascii="Verdana" w:eastAsia="Times New Roman" w:hAnsi="Verdana" w:cs="Arial"/>
          <w:sz w:val="20"/>
          <w:szCs w:val="20"/>
          <w:lang w:val="es-ES" w:eastAsia="es-ES_tradnl"/>
        </w:rPr>
        <w:t>) utilidad, cuando el proceso de contratación sea por precios unitarios.</w:t>
      </w:r>
    </w:p>
    <w:p w14:paraId="5DD6B3E8" w14:textId="77777777" w:rsidR="00195A45" w:rsidRDefault="00195A45" w:rsidP="00195A45">
      <w:pPr>
        <w:spacing w:after="0" w:line="240" w:lineRule="auto"/>
        <w:rPr>
          <w:rFonts w:ascii="Verdana" w:eastAsia="Geomanist Light" w:hAnsi="Verdana" w:cs="Arial"/>
          <w:color w:val="000000" w:themeColor="text1"/>
          <w:lang w:val="es-MX"/>
        </w:rPr>
      </w:pPr>
    </w:p>
    <w:p w14:paraId="10C0B695" w14:textId="77777777" w:rsidR="00195A45" w:rsidRPr="005812BE" w:rsidRDefault="00195A45" w:rsidP="00195A45">
      <w:pPr>
        <w:spacing w:after="0" w:line="240" w:lineRule="auto"/>
        <w:rPr>
          <w:rFonts w:ascii="Verdana" w:eastAsia="Geomanist Light" w:hAnsi="Verdana" w:cs="Arial"/>
          <w:color w:val="201F1E"/>
          <w:lang w:val="es-MX"/>
        </w:rPr>
      </w:pPr>
      <w:r w:rsidRPr="005812BE">
        <w:rPr>
          <w:rFonts w:ascii="Verdana" w:eastAsia="Geomanist Light" w:hAnsi="Verdana" w:cs="Arial"/>
          <w:color w:val="000000" w:themeColor="text1"/>
          <w:lang w:val="es-MX"/>
        </w:rPr>
        <w:t>Bogotá D.C., </w:t>
      </w:r>
      <w:r w:rsidRPr="005812BE">
        <w:rPr>
          <w:rFonts w:ascii="Verdana" w:eastAsia="Geomanist Light" w:hAnsi="Verdana" w:cs="Arial"/>
          <w:color w:val="201F1E"/>
          <w:lang w:val="es-MX"/>
        </w:rPr>
        <w:t>[Día] de [</w:t>
      </w:r>
      <w:proofErr w:type="spellStart"/>
      <w:r w:rsidRPr="005812BE">
        <w:rPr>
          <w:rFonts w:ascii="Verdana" w:eastAsia="Geomanist Light" w:hAnsi="Verdana" w:cs="Arial"/>
          <w:color w:val="201F1E"/>
          <w:lang w:val="es-MX"/>
        </w:rPr>
        <w:t>Mes.NombreCapitalizado</w:t>
      </w:r>
      <w:proofErr w:type="spellEnd"/>
      <w:r w:rsidRPr="005812BE">
        <w:rPr>
          <w:rFonts w:ascii="Verdana" w:eastAsia="Geomanist Light" w:hAnsi="Verdana" w:cs="Arial"/>
          <w:color w:val="201F1E"/>
          <w:lang w:val="es-MX"/>
        </w:rPr>
        <w:t>] de [Año]</w:t>
      </w:r>
    </w:p>
    <w:p w14:paraId="4C2929CD" w14:textId="77777777" w:rsidR="00195A45" w:rsidRPr="006C7E16" w:rsidRDefault="00195A45" w:rsidP="00195A45">
      <w:pPr>
        <w:spacing w:after="0" w:line="240" w:lineRule="auto"/>
        <w:jc w:val="both"/>
        <w:rPr>
          <w:rFonts w:ascii="Century Gothic" w:eastAsia="Calibri" w:hAnsi="Century Gothic" w:cs="Arial"/>
          <w:color w:val="000000"/>
          <w:lang w:val="es-ES"/>
        </w:rPr>
      </w:pPr>
    </w:p>
    <w:p w14:paraId="623575BD" w14:textId="77777777" w:rsidR="00195A45" w:rsidRPr="006C7E16" w:rsidRDefault="00195A45" w:rsidP="00195A45">
      <w:pPr>
        <w:spacing w:after="0" w:line="240" w:lineRule="auto"/>
        <w:jc w:val="both"/>
        <w:rPr>
          <w:rFonts w:ascii="Century Gothic" w:eastAsia="Calibri" w:hAnsi="Century Gothic" w:cs="Arial"/>
          <w:bCs/>
          <w:lang w:val="es-MX" w:eastAsia="es-ES_tradnl"/>
        </w:rPr>
      </w:pPr>
    </w:p>
    <w:p w14:paraId="37F2AC73" w14:textId="77777777" w:rsidR="00195A45" w:rsidRDefault="00195A45" w:rsidP="00195A45">
      <w:pPr>
        <w:spacing w:after="0" w:line="240" w:lineRule="auto"/>
        <w:jc w:val="both"/>
        <w:rPr>
          <w:rFonts w:ascii="Verdana" w:eastAsia="Calibri" w:hAnsi="Verdana" w:cs="Arial"/>
          <w:bCs/>
          <w:lang w:val="es-MX" w:eastAsia="es-ES_tradnl"/>
        </w:rPr>
      </w:pPr>
      <w:r w:rsidRPr="006C7E16">
        <w:rPr>
          <w:rFonts w:ascii="Verdana" w:eastAsia="Calibri" w:hAnsi="Verdana" w:cs="Arial"/>
          <w:bCs/>
          <w:lang w:val="es-MX" w:eastAsia="es-ES_tradnl"/>
        </w:rPr>
        <w:t>Señor</w:t>
      </w:r>
      <w:r>
        <w:rPr>
          <w:rFonts w:ascii="Verdana" w:eastAsia="Calibri" w:hAnsi="Verdana" w:cs="Arial"/>
          <w:bCs/>
          <w:lang w:val="es-MX" w:eastAsia="es-ES_tradnl"/>
        </w:rPr>
        <w:t>a</w:t>
      </w:r>
    </w:p>
    <w:p w14:paraId="57CA3C56" w14:textId="64790888" w:rsidR="00195A45" w:rsidRPr="006C7E16" w:rsidRDefault="00050750" w:rsidP="00195A45">
      <w:pPr>
        <w:spacing w:after="0" w:line="240" w:lineRule="auto"/>
        <w:jc w:val="both"/>
        <w:rPr>
          <w:rFonts w:ascii="Century Gothic" w:eastAsia="Calibri" w:hAnsi="Century Gothic" w:cs="Arial"/>
          <w:bCs/>
          <w:lang w:val="es-MX" w:eastAsia="es-ES_tradnl"/>
        </w:rPr>
      </w:pPr>
      <w:r>
        <w:rPr>
          <w:rFonts w:ascii="Verdana" w:eastAsia="Calibri" w:hAnsi="Verdana" w:cs="Arial"/>
          <w:b/>
          <w:lang w:val="es-MX" w:eastAsia="es-ES_tradnl"/>
        </w:rPr>
        <w:t>XXXXX</w:t>
      </w:r>
    </w:p>
    <w:p w14:paraId="04798CE8" w14:textId="77777777" w:rsidR="00195A45" w:rsidRDefault="00195A45" w:rsidP="00195A45">
      <w:pPr>
        <w:spacing w:after="0" w:line="240" w:lineRule="auto"/>
        <w:jc w:val="right"/>
        <w:rPr>
          <w:rFonts w:ascii="Century Gothic" w:eastAsia="Calibri" w:hAnsi="Century Gothic" w:cs="Arial"/>
          <w:bCs/>
          <w:noProof/>
          <w:lang w:val="es-MX" w:eastAsia="es-ES_tradnl"/>
        </w:rPr>
      </w:pPr>
    </w:p>
    <w:p w14:paraId="461F55B5" w14:textId="77777777" w:rsidR="00195A45" w:rsidRPr="006C7E16" w:rsidRDefault="005538BF" w:rsidP="00195A45">
      <w:pPr>
        <w:spacing w:after="0" w:line="240" w:lineRule="auto"/>
        <w:jc w:val="right"/>
        <w:rPr>
          <w:rFonts w:ascii="Century Gothic" w:eastAsia="Calibri" w:hAnsi="Century Gothic" w:cs="Arial"/>
          <w:bCs/>
          <w:lang w:val="es-MX" w:eastAsia="es-ES_tradnl"/>
        </w:rPr>
      </w:pPr>
      <w:r w:rsidRPr="005538BF">
        <w:rPr>
          <w:rFonts w:ascii="Century Gothic" w:eastAsia="Calibri" w:hAnsi="Century Gothic" w:cs="Arial"/>
          <w:bCs/>
          <w:noProof/>
          <w:lang w:val="es-MX" w:eastAsia="es-ES_tradnl"/>
        </w:rPr>
        <w:drawing>
          <wp:inline distT="0" distB="0" distL="0" distR="0" wp14:anchorId="6CECD839" wp14:editId="552FFC77">
            <wp:extent cx="4095750" cy="1209675"/>
            <wp:effectExtent l="0" t="0" r="0" b="9525"/>
            <wp:docPr id="319840612" name="Imagen 1"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40612" name="Imagen 1" descr="Interfaz de usuario gráfica, Texto, Aplicación, Chat o mensaje de texto&#10;&#10;El contenido generado por IA puede ser incorrecto."/>
                    <pic:cNvPicPr/>
                  </pic:nvPicPr>
                  <pic:blipFill>
                    <a:blip r:embed="rId10"/>
                    <a:stretch>
                      <a:fillRect/>
                    </a:stretch>
                  </pic:blipFill>
                  <pic:spPr>
                    <a:xfrm>
                      <a:off x="0" y="0"/>
                      <a:ext cx="4095750" cy="1209675"/>
                    </a:xfrm>
                    <a:prstGeom prst="rect">
                      <a:avLst/>
                    </a:prstGeom>
                  </pic:spPr>
                </pic:pic>
              </a:graphicData>
            </a:graphic>
          </wp:inline>
        </w:drawing>
      </w:r>
    </w:p>
    <w:p w14:paraId="3B27C7C9" w14:textId="77777777" w:rsidR="00195A45" w:rsidRPr="006C7E16" w:rsidRDefault="00195A45" w:rsidP="00195A45">
      <w:pPr>
        <w:spacing w:after="0" w:line="240" w:lineRule="auto"/>
        <w:rPr>
          <w:rFonts w:ascii="Century Gothic" w:eastAsia="Calibri" w:hAnsi="Century Gothic"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95A45" w:rsidRPr="006C7E16" w14:paraId="30309DAD" w14:textId="77777777" w:rsidTr="00162A72">
        <w:trPr>
          <w:trHeight w:val="884"/>
        </w:trPr>
        <w:tc>
          <w:tcPr>
            <w:tcW w:w="2689" w:type="dxa"/>
          </w:tcPr>
          <w:p w14:paraId="00284B5B" w14:textId="77777777" w:rsidR="00195A45" w:rsidRPr="006C7E16" w:rsidRDefault="00195A45" w:rsidP="00162A72">
            <w:pPr>
              <w:jc w:val="both"/>
              <w:rPr>
                <w:rFonts w:ascii="Century Gothic" w:eastAsia="Calibri" w:hAnsi="Century Gothic" w:cs="Arial"/>
                <w:b/>
                <w:bCs/>
                <w:color w:val="7030A0"/>
                <w:lang w:val="es-ES_tradnl" w:eastAsia="es-ES_tradnl"/>
              </w:rPr>
            </w:pPr>
          </w:p>
        </w:tc>
        <w:tc>
          <w:tcPr>
            <w:tcW w:w="6100" w:type="dxa"/>
          </w:tcPr>
          <w:p w14:paraId="24DF93AA" w14:textId="77777777" w:rsidR="00195A45" w:rsidRPr="006C7E16" w:rsidRDefault="00195A45" w:rsidP="00162A72">
            <w:pPr>
              <w:jc w:val="both"/>
              <w:rPr>
                <w:rFonts w:ascii="Verdana" w:eastAsia="Calibri" w:hAnsi="Verdana" w:cs="Arial"/>
                <w:b/>
                <w:bCs/>
                <w:color w:val="7030A0"/>
                <w:lang w:val="es-ES" w:eastAsia="es-ES"/>
              </w:rPr>
            </w:pPr>
            <w:r w:rsidRPr="006C7E16">
              <w:rPr>
                <w:rFonts w:ascii="Verdana" w:eastAsia="Calibri" w:hAnsi="Verdana" w:cs="Arial"/>
                <w:b/>
                <w:bCs/>
                <w:lang w:val="es-ES" w:eastAsia="es-ES"/>
              </w:rPr>
              <w:t>Concepto C</w:t>
            </w:r>
            <w:r>
              <w:rPr>
                <w:rFonts w:ascii="Verdana" w:eastAsia="Calibri" w:hAnsi="Verdana" w:cs="Arial"/>
                <w:b/>
                <w:bCs/>
                <w:lang w:val="es-ES" w:eastAsia="es-ES"/>
              </w:rPr>
              <w:t xml:space="preserve"> – 1022 de</w:t>
            </w:r>
            <w:r w:rsidRPr="006C7E16">
              <w:rPr>
                <w:rFonts w:ascii="Verdana" w:eastAsia="Calibri" w:hAnsi="Verdana" w:cs="Arial"/>
                <w:b/>
                <w:bCs/>
                <w:lang w:val="es-ES" w:eastAsia="es-ES"/>
              </w:rPr>
              <w:t xml:space="preserve"> 2024</w:t>
            </w:r>
          </w:p>
        </w:tc>
      </w:tr>
      <w:tr w:rsidR="00195A45" w:rsidRPr="006C7E16" w14:paraId="0D17039B" w14:textId="77777777" w:rsidTr="00162A72">
        <w:trPr>
          <w:trHeight w:val="884"/>
        </w:trPr>
        <w:tc>
          <w:tcPr>
            <w:tcW w:w="2689" w:type="dxa"/>
          </w:tcPr>
          <w:p w14:paraId="541DD18F" w14:textId="77777777" w:rsidR="00195A45" w:rsidRPr="005812BE" w:rsidRDefault="00195A45" w:rsidP="00162A72">
            <w:pPr>
              <w:jc w:val="both"/>
              <w:rPr>
                <w:rFonts w:ascii="Verdana" w:eastAsia="Calibri" w:hAnsi="Verdana" w:cs="Arial"/>
                <w:b/>
                <w:lang w:val="es-MX" w:eastAsia="es-ES_tradnl"/>
              </w:rPr>
            </w:pPr>
            <w:r w:rsidRPr="005812BE">
              <w:rPr>
                <w:rFonts w:ascii="Verdana" w:eastAsia="Calibri" w:hAnsi="Verdana" w:cs="Arial"/>
                <w:b/>
                <w:lang w:val="es-MX" w:eastAsia="es-ES_tradnl"/>
              </w:rPr>
              <w:t xml:space="preserve">Temas:                   </w:t>
            </w:r>
          </w:p>
        </w:tc>
        <w:tc>
          <w:tcPr>
            <w:tcW w:w="6100" w:type="dxa"/>
          </w:tcPr>
          <w:p w14:paraId="16FD4161" w14:textId="77777777" w:rsidR="00195A45" w:rsidRPr="00581D86" w:rsidRDefault="00195A45" w:rsidP="00162A72">
            <w:pPr>
              <w:spacing w:line="276" w:lineRule="auto"/>
              <w:jc w:val="both"/>
              <w:rPr>
                <w:rFonts w:ascii="Verdana" w:eastAsia="Times New Roman" w:hAnsi="Verdana" w:cs="Arial"/>
                <w:color w:val="000000" w:themeColor="text1"/>
                <w:lang w:val="es-ES" w:eastAsia="es-ES"/>
              </w:rPr>
            </w:pPr>
            <w:r w:rsidRPr="00581D86">
              <w:rPr>
                <w:rFonts w:ascii="Verdana" w:eastAsia="Times New Roman" w:hAnsi="Verdana" w:cs="Arial"/>
                <w:color w:val="000000" w:themeColor="text1"/>
                <w:lang w:val="es-ES" w:eastAsia="es-ES"/>
              </w:rPr>
              <w:t>DOCUMENTOS TIPO – Formulario 1 – Presupuesto Oficial – Propuesta económica / FORMULARIO 1 – Formulario de presupuesto oficial – Inalterabilidad – Notas 1, 2 y 3 – Componentes del AIU</w:t>
            </w:r>
          </w:p>
          <w:p w14:paraId="0CC1E555" w14:textId="77777777" w:rsidR="00195A45" w:rsidRPr="00953539" w:rsidRDefault="00195A45" w:rsidP="00162A72">
            <w:pPr>
              <w:jc w:val="both"/>
              <w:rPr>
                <w:rFonts w:ascii="Verdana" w:eastAsia="Calibri" w:hAnsi="Verdana" w:cs="Arial"/>
                <w:bCs/>
                <w:lang w:val="es-MX"/>
              </w:rPr>
            </w:pPr>
          </w:p>
          <w:p w14:paraId="05879F1C" w14:textId="77777777" w:rsidR="00195A45" w:rsidRPr="00801602" w:rsidRDefault="00195A45" w:rsidP="00162A72">
            <w:pPr>
              <w:rPr>
                <w:rFonts w:ascii="Verdana" w:eastAsia="Times New Roman" w:hAnsi="Verdana" w:cs="Arial"/>
                <w:color w:val="000000"/>
              </w:rPr>
            </w:pPr>
          </w:p>
          <w:p w14:paraId="3EEFB59C" w14:textId="77777777" w:rsidR="00195A45" w:rsidRPr="006C7E16" w:rsidRDefault="00195A45" w:rsidP="00162A72">
            <w:pPr>
              <w:jc w:val="both"/>
              <w:rPr>
                <w:rFonts w:ascii="Verdana" w:eastAsia="Calibri" w:hAnsi="Verdana" w:cs="Arial"/>
                <w:bCs/>
                <w:lang w:val="es-ES" w:eastAsia="es-ES_tradnl"/>
              </w:rPr>
            </w:pPr>
          </w:p>
        </w:tc>
      </w:tr>
      <w:tr w:rsidR="00195A45" w:rsidRPr="006C7E16" w14:paraId="6149530E" w14:textId="77777777" w:rsidTr="00162A72">
        <w:tc>
          <w:tcPr>
            <w:tcW w:w="2689" w:type="dxa"/>
          </w:tcPr>
          <w:p w14:paraId="46F2144B" w14:textId="77777777" w:rsidR="00195A45" w:rsidRPr="005812BE" w:rsidRDefault="00195A45" w:rsidP="00162A72">
            <w:pPr>
              <w:jc w:val="both"/>
              <w:rPr>
                <w:rFonts w:ascii="Verdana" w:eastAsia="Calibri" w:hAnsi="Verdana" w:cs="Arial"/>
                <w:b/>
                <w:lang w:val="es-MX" w:eastAsia="es-ES_tradnl"/>
              </w:rPr>
            </w:pPr>
            <w:r w:rsidRPr="005812BE">
              <w:rPr>
                <w:rFonts w:ascii="Verdana" w:eastAsia="Calibri" w:hAnsi="Verdana" w:cs="Arial"/>
                <w:b/>
                <w:lang w:val="es-MX" w:eastAsia="es-ES_tradnl"/>
              </w:rPr>
              <w:t xml:space="preserve">Radicación:               </w:t>
            </w:r>
          </w:p>
        </w:tc>
        <w:tc>
          <w:tcPr>
            <w:tcW w:w="6100" w:type="dxa"/>
          </w:tcPr>
          <w:p w14:paraId="500169EC" w14:textId="77777777" w:rsidR="00195A45" w:rsidRPr="006C7E16" w:rsidRDefault="00195A45" w:rsidP="00162A72">
            <w:pPr>
              <w:jc w:val="both"/>
              <w:rPr>
                <w:rFonts w:ascii="Verdana" w:eastAsia="Calibri" w:hAnsi="Verdana" w:cs="Arial"/>
                <w:bCs/>
                <w:lang w:val="es-MX" w:eastAsia="es-ES_tradnl"/>
              </w:rPr>
            </w:pPr>
            <w:r w:rsidRPr="006C7E16">
              <w:rPr>
                <w:rFonts w:ascii="Verdana" w:eastAsia="Calibri" w:hAnsi="Verdana" w:cs="Arial"/>
                <w:bCs/>
                <w:lang w:val="es-MX" w:eastAsia="es-ES_tradnl"/>
              </w:rPr>
              <w:t>Respuesta a consulta con radicado No. P</w:t>
            </w:r>
            <w:r w:rsidRPr="00D11BD1">
              <w:rPr>
                <w:rFonts w:ascii="Verdana" w:eastAsia="Calibri" w:hAnsi="Verdana" w:cs="Arial"/>
                <w:bCs/>
                <w:lang w:val="es-MX" w:eastAsia="es-ES_tradnl"/>
              </w:rPr>
              <w:t>2024</w:t>
            </w:r>
            <w:r>
              <w:rPr>
                <w:rFonts w:ascii="Verdana" w:eastAsia="Calibri" w:hAnsi="Verdana" w:cs="Arial"/>
                <w:bCs/>
                <w:lang w:val="es-MX" w:eastAsia="es-ES_tradnl"/>
              </w:rPr>
              <w:t>1218012658</w:t>
            </w:r>
          </w:p>
        </w:tc>
      </w:tr>
    </w:tbl>
    <w:p w14:paraId="5504357F" w14:textId="77777777" w:rsidR="00195A45" w:rsidRPr="006C7E16" w:rsidRDefault="00195A45" w:rsidP="00195A45">
      <w:pPr>
        <w:spacing w:after="0" w:line="240" w:lineRule="auto"/>
        <w:jc w:val="both"/>
        <w:rPr>
          <w:rFonts w:ascii="Century Gothic" w:eastAsia="Calibri" w:hAnsi="Century Gothic" w:cs="Arial"/>
          <w:color w:val="000000"/>
          <w:lang w:val="es-ES_tradnl" w:eastAsia="es-ES_tradnl"/>
        </w:rPr>
      </w:pPr>
    </w:p>
    <w:p w14:paraId="1D853B2E" w14:textId="77777777" w:rsidR="00195A45" w:rsidRPr="006C7E16" w:rsidRDefault="00195A45" w:rsidP="00195A45">
      <w:pPr>
        <w:spacing w:after="0" w:line="240" w:lineRule="auto"/>
        <w:jc w:val="both"/>
        <w:rPr>
          <w:rFonts w:ascii="Century Gothic" w:eastAsia="Calibri" w:hAnsi="Century Gothic" w:cs="Arial"/>
          <w:color w:val="000000"/>
          <w:lang w:val="es-ES_tradnl" w:eastAsia="es-ES_tradnl"/>
        </w:rPr>
      </w:pPr>
    </w:p>
    <w:p w14:paraId="1B3C18B9" w14:textId="3B98DDDC" w:rsidR="00195A45" w:rsidRPr="006C7E16" w:rsidRDefault="00195A45" w:rsidP="00195A45">
      <w:pPr>
        <w:spacing w:after="0" w:line="276" w:lineRule="auto"/>
        <w:jc w:val="both"/>
        <w:rPr>
          <w:rFonts w:ascii="Verdana" w:eastAsia="Calibri" w:hAnsi="Verdana" w:cs="Arial"/>
          <w:bCs/>
          <w:lang w:val="es-MX" w:eastAsia="es-ES_tradnl"/>
        </w:rPr>
      </w:pPr>
      <w:r w:rsidRPr="006C7E16">
        <w:rPr>
          <w:rFonts w:ascii="Verdana" w:eastAsia="Calibri" w:hAnsi="Verdana" w:cs="Arial"/>
          <w:bCs/>
          <w:lang w:val="es-MX" w:eastAsia="es-ES_tradnl"/>
        </w:rPr>
        <w:t>Estimad</w:t>
      </w:r>
      <w:r>
        <w:rPr>
          <w:rFonts w:ascii="Verdana" w:eastAsia="Calibri" w:hAnsi="Verdana" w:cs="Arial"/>
          <w:bCs/>
          <w:lang w:val="es-MX" w:eastAsia="es-ES_tradnl"/>
        </w:rPr>
        <w:t>a</w:t>
      </w:r>
      <w:r w:rsidRPr="006C7E16">
        <w:rPr>
          <w:rFonts w:ascii="Verdana" w:eastAsia="Calibri" w:hAnsi="Verdana" w:cs="Arial"/>
          <w:bCs/>
          <w:lang w:val="es-MX" w:eastAsia="es-ES_tradnl"/>
        </w:rPr>
        <w:t xml:space="preserve"> señor</w:t>
      </w:r>
      <w:r>
        <w:rPr>
          <w:rFonts w:ascii="Verdana" w:eastAsia="Calibri" w:hAnsi="Verdana" w:cs="Arial"/>
          <w:bCs/>
          <w:lang w:val="es-MX" w:eastAsia="es-ES_tradnl"/>
        </w:rPr>
        <w:t xml:space="preserve">a </w:t>
      </w:r>
      <w:r w:rsidR="00050750">
        <w:rPr>
          <w:rFonts w:ascii="Verdana" w:eastAsia="Calibri" w:hAnsi="Verdana" w:cs="Arial"/>
          <w:bCs/>
          <w:lang w:val="es-MX" w:eastAsia="es-ES_tradnl"/>
        </w:rPr>
        <w:t>XXXX</w:t>
      </w:r>
      <w:r w:rsidRPr="006C7E16">
        <w:rPr>
          <w:rFonts w:ascii="Verdana" w:eastAsia="Calibri" w:hAnsi="Verdana" w:cs="Arial"/>
          <w:bCs/>
          <w:lang w:val="es-MX" w:eastAsia="es-ES_tradnl"/>
        </w:rPr>
        <w:t xml:space="preserve"> </w:t>
      </w:r>
    </w:p>
    <w:p w14:paraId="6B8D2FD8" w14:textId="77777777" w:rsidR="00195A45" w:rsidRPr="006C7E16" w:rsidRDefault="00195A45" w:rsidP="00195A45">
      <w:pPr>
        <w:tabs>
          <w:tab w:val="left" w:pos="3768"/>
        </w:tabs>
        <w:spacing w:after="0" w:line="276" w:lineRule="auto"/>
        <w:jc w:val="both"/>
        <w:rPr>
          <w:rFonts w:ascii="Verdana" w:eastAsia="Calibri" w:hAnsi="Verdana" w:cs="Arial"/>
          <w:color w:val="000000" w:themeColor="text1"/>
          <w:lang w:val="es-ES" w:eastAsia="es-ES"/>
        </w:rPr>
      </w:pPr>
      <w:r w:rsidRPr="006C7E16">
        <w:rPr>
          <w:rFonts w:ascii="Verdana" w:eastAsia="Calibri" w:hAnsi="Verdana" w:cs="Arial"/>
          <w:color w:val="000000" w:themeColor="text1"/>
          <w:lang w:val="es-ES" w:eastAsia="es-ES"/>
        </w:rPr>
        <w:tab/>
      </w:r>
    </w:p>
    <w:p w14:paraId="22716BFB" w14:textId="77777777" w:rsidR="00195A45" w:rsidRPr="006C7E16" w:rsidRDefault="00195A45" w:rsidP="00195A45">
      <w:pPr>
        <w:spacing w:after="0" w:line="276" w:lineRule="auto"/>
        <w:jc w:val="both"/>
        <w:rPr>
          <w:rFonts w:ascii="Verdana" w:eastAsia="Calibri" w:hAnsi="Verdana" w:cs="Arial"/>
          <w:lang w:val="es-ES" w:eastAsia="es-ES"/>
        </w:rPr>
      </w:pPr>
      <w:r w:rsidRPr="006C7E16">
        <w:rPr>
          <w:rFonts w:ascii="Verdana" w:eastAsia="Calibri" w:hAnsi="Verdana" w:cs="Arial"/>
          <w:color w:val="000000" w:themeColor="text1"/>
          <w:lang w:val="es-ES" w:eastAsia="es-ES"/>
        </w:rPr>
        <w:t>En ejercicio de la competencia otorgada por los artículos 3, numeral 5º, y 11, numeral 8º, del Decreto Ley 4170 de 2011,</w:t>
      </w:r>
      <w:r w:rsidRPr="006C7E16">
        <w:rPr>
          <w:rFonts w:ascii="Verdana" w:eastAsia="Arial MT" w:hAnsi="Verdana" w:cs="Arial MT"/>
          <w:lang w:val="es-ES" w:eastAsia="es-ES"/>
        </w:rPr>
        <w:t xml:space="preserve"> </w:t>
      </w:r>
      <w:r w:rsidRPr="006C7E16">
        <w:rPr>
          <w:rFonts w:ascii="Verdana" w:eastAsia="Times New Roman" w:hAnsi="Verdana" w:cs="Arial"/>
        </w:rPr>
        <w:t xml:space="preserve">así como lo establecido en el artículo 4 de la Resolución 1707 de 2018 expedida por esta Entidad, </w:t>
      </w:r>
      <w:r w:rsidRPr="006C7E1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18</w:t>
      </w:r>
      <w:r w:rsidRPr="006C7E16">
        <w:rPr>
          <w:rFonts w:ascii="Verdana" w:eastAsia="Calibri" w:hAnsi="Verdana" w:cs="Arial"/>
          <w:lang w:val="es-ES" w:eastAsia="es-ES"/>
        </w:rPr>
        <w:t xml:space="preserve"> de </w:t>
      </w:r>
      <w:r>
        <w:rPr>
          <w:rFonts w:ascii="Verdana" w:eastAsia="Calibri" w:hAnsi="Verdana" w:cs="Arial"/>
          <w:lang w:val="es-ES" w:eastAsia="es-ES"/>
        </w:rPr>
        <w:t>diciembre</w:t>
      </w:r>
      <w:r w:rsidRPr="006C7E16">
        <w:rPr>
          <w:rFonts w:ascii="Verdana" w:eastAsia="Calibri" w:hAnsi="Verdana" w:cs="Arial"/>
          <w:lang w:val="es-ES" w:eastAsia="es-ES"/>
        </w:rPr>
        <w:t xml:space="preserve"> de 2024, en la cual manifiesta lo siguiente: </w:t>
      </w:r>
    </w:p>
    <w:p w14:paraId="74482F0F" w14:textId="77777777" w:rsidR="00195A45" w:rsidRPr="006C7E16" w:rsidRDefault="00195A45" w:rsidP="00195A45">
      <w:pPr>
        <w:tabs>
          <w:tab w:val="left" w:pos="142"/>
          <w:tab w:val="left" w:pos="284"/>
        </w:tabs>
        <w:spacing w:line="276" w:lineRule="auto"/>
        <w:contextualSpacing/>
        <w:jc w:val="both"/>
        <w:rPr>
          <w:rFonts w:ascii="Century Gothic" w:eastAsia="Century Gothic" w:hAnsi="Century Gothic" w:cs="Century Gothic"/>
          <w:b/>
          <w:bCs/>
          <w:lang w:val="es-ES"/>
        </w:rPr>
      </w:pPr>
    </w:p>
    <w:p w14:paraId="1042391B" w14:textId="77777777" w:rsidR="00195A45" w:rsidRDefault="00195A45" w:rsidP="00195A45">
      <w:pPr>
        <w:tabs>
          <w:tab w:val="left" w:pos="142"/>
          <w:tab w:val="left" w:pos="284"/>
        </w:tabs>
        <w:spacing w:after="120" w:line="276" w:lineRule="auto"/>
        <w:ind w:left="709" w:right="709"/>
        <w:contextualSpacing/>
        <w:jc w:val="both"/>
        <w:rPr>
          <w:rFonts w:ascii="Verdana" w:eastAsia="Century Gothic" w:hAnsi="Verdana" w:cs="Century Gothic"/>
          <w:sz w:val="20"/>
          <w:szCs w:val="20"/>
          <w:lang w:val="es-ES"/>
        </w:rPr>
      </w:pPr>
      <w:r>
        <w:rPr>
          <w:rFonts w:ascii="Verdana" w:eastAsia="Century Gothic" w:hAnsi="Verdana" w:cs="Century Gothic"/>
          <w:sz w:val="20"/>
          <w:szCs w:val="20"/>
          <w:lang w:val="es-ES"/>
        </w:rPr>
        <w:t xml:space="preserve">“En el marco de los pliegos tipo de obra pública. </w:t>
      </w:r>
      <w:bookmarkStart w:id="1" w:name="_Hlk187931204"/>
      <w:r>
        <w:rPr>
          <w:rFonts w:ascii="Verdana" w:eastAsia="Century Gothic" w:hAnsi="Verdana" w:cs="Century Gothic"/>
          <w:sz w:val="20"/>
          <w:szCs w:val="20"/>
          <w:lang w:val="es-ES"/>
        </w:rPr>
        <w:t xml:space="preserve">¿qué implicaciones jurídicas, administrativas o técnicas surgen si una oferente modifica el porcentaje de distribución del AIU (Administración, Imprevistos y Utilidad) </w:t>
      </w:r>
      <w:r>
        <w:rPr>
          <w:rFonts w:ascii="Verdana" w:eastAsia="Century Gothic" w:hAnsi="Verdana" w:cs="Century Gothic"/>
          <w:sz w:val="20"/>
          <w:szCs w:val="20"/>
          <w:lang w:val="es-ES"/>
        </w:rPr>
        <w:lastRenderedPageBreak/>
        <w:t>previamente determinado por la entidad en el anexo de la oferta económica?</w:t>
      </w:r>
    </w:p>
    <w:bookmarkEnd w:id="1"/>
    <w:p w14:paraId="57956E97" w14:textId="77777777" w:rsidR="00195A45" w:rsidRPr="006C7E16" w:rsidRDefault="00195A45" w:rsidP="00195A45">
      <w:pPr>
        <w:tabs>
          <w:tab w:val="left" w:pos="142"/>
          <w:tab w:val="left" w:pos="284"/>
        </w:tabs>
        <w:spacing w:after="120" w:line="276" w:lineRule="auto"/>
        <w:ind w:left="709" w:right="709"/>
        <w:contextualSpacing/>
        <w:jc w:val="both"/>
        <w:rPr>
          <w:rFonts w:ascii="Verdana" w:eastAsia="Century Gothic" w:hAnsi="Verdana" w:cs="Century Gothic"/>
          <w:sz w:val="20"/>
          <w:szCs w:val="20"/>
          <w:lang w:val="es-ES"/>
        </w:rPr>
      </w:pPr>
      <w:r>
        <w:rPr>
          <w:rFonts w:ascii="Verdana" w:eastAsia="Century Gothic" w:hAnsi="Verdana" w:cs="Century Gothic"/>
          <w:sz w:val="20"/>
          <w:szCs w:val="20"/>
          <w:lang w:val="es-ES"/>
        </w:rPr>
        <w:t>Agradezco su aclaración sobre las posibles consecuencias para la validez de la oferta, así como sobre las acciones que la entidad contratante debe considerar en caso de presentarse”</w:t>
      </w:r>
    </w:p>
    <w:p w14:paraId="1AC07006" w14:textId="77777777" w:rsidR="00195A45" w:rsidRPr="006C7E16" w:rsidRDefault="00195A45" w:rsidP="00195A45">
      <w:pPr>
        <w:tabs>
          <w:tab w:val="left" w:pos="142"/>
          <w:tab w:val="left" w:pos="284"/>
        </w:tabs>
        <w:spacing w:after="120" w:line="276" w:lineRule="auto"/>
        <w:ind w:left="709" w:right="709"/>
        <w:contextualSpacing/>
        <w:jc w:val="both"/>
        <w:rPr>
          <w:rFonts w:ascii="Verdana" w:eastAsia="Century Gothic" w:hAnsi="Verdana" w:cs="Century Gothic"/>
          <w:sz w:val="20"/>
          <w:szCs w:val="20"/>
          <w:lang w:val="es-ES"/>
        </w:rPr>
      </w:pPr>
    </w:p>
    <w:p w14:paraId="63964F7F" w14:textId="77777777" w:rsidR="00195A45" w:rsidRPr="006C7E16" w:rsidRDefault="00195A45" w:rsidP="00195A45">
      <w:pPr>
        <w:tabs>
          <w:tab w:val="left" w:pos="142"/>
          <w:tab w:val="left" w:pos="284"/>
        </w:tabs>
        <w:spacing w:after="120" w:line="276" w:lineRule="auto"/>
        <w:ind w:left="709" w:right="709"/>
        <w:contextualSpacing/>
        <w:jc w:val="both"/>
        <w:rPr>
          <w:rFonts w:ascii="Verdana" w:eastAsia="Century Gothic" w:hAnsi="Verdana" w:cs="Century Gothic"/>
          <w:b/>
          <w:bCs/>
          <w:sz w:val="20"/>
          <w:szCs w:val="20"/>
          <w:lang w:val="es-ES"/>
        </w:rPr>
      </w:pPr>
    </w:p>
    <w:p w14:paraId="1874B99E" w14:textId="77777777" w:rsidR="00195A45" w:rsidRPr="006C7E16" w:rsidRDefault="00195A45" w:rsidP="00195A45">
      <w:pPr>
        <w:spacing w:after="120" w:line="276" w:lineRule="auto"/>
        <w:ind w:firstLine="709"/>
        <w:jc w:val="both"/>
        <w:rPr>
          <w:rFonts w:ascii="Verdana" w:eastAsia="Calibri" w:hAnsi="Verdana" w:cs="Arial"/>
          <w:color w:val="000000"/>
          <w:lang w:val="es-ES_tradnl" w:eastAsia="es-ES_tradnl"/>
        </w:rPr>
      </w:pPr>
      <w:r w:rsidRPr="006C7E16">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C7E16">
        <w:rPr>
          <w:rFonts w:ascii="Verdana" w:eastAsia="Calibri" w:hAnsi="Verdana" w:cs="Arial"/>
          <w:color w:val="000000"/>
          <w:lang w:val="es-ES_tradnl" w:eastAsia="es-ES_tradnl"/>
        </w:rPr>
        <w:tab/>
      </w:r>
    </w:p>
    <w:p w14:paraId="5101AD40" w14:textId="77777777" w:rsidR="00195A45" w:rsidRPr="006C7E16" w:rsidRDefault="00195A45" w:rsidP="00195A45">
      <w:pPr>
        <w:spacing w:after="0" w:line="276" w:lineRule="auto"/>
        <w:ind w:firstLine="709"/>
        <w:jc w:val="both"/>
        <w:rPr>
          <w:rFonts w:ascii="Verdana" w:eastAsia="Calibri" w:hAnsi="Verdana" w:cs="Arial"/>
          <w:color w:val="000000"/>
          <w:lang w:val="es-ES" w:eastAsia="es-ES"/>
        </w:rPr>
      </w:pPr>
      <w:r w:rsidRPr="006C7E16">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problema</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jurídico</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 xml:space="preserve">de su consulta. </w:t>
      </w:r>
    </w:p>
    <w:p w14:paraId="48605BB2" w14:textId="77777777" w:rsidR="00195A45" w:rsidRDefault="00195A45" w:rsidP="00195A45">
      <w:pPr>
        <w:spacing w:after="0" w:line="276" w:lineRule="auto"/>
        <w:ind w:firstLine="709"/>
        <w:jc w:val="both"/>
        <w:rPr>
          <w:rFonts w:ascii="Century Gothic" w:eastAsia="Calibri" w:hAnsi="Century Gothic" w:cs="Arial"/>
          <w:color w:val="000000"/>
          <w:lang w:val="es-ES" w:eastAsia="es-ES"/>
        </w:rPr>
      </w:pPr>
    </w:p>
    <w:p w14:paraId="33AAA7A3" w14:textId="77777777" w:rsidR="00195A45" w:rsidRPr="006C7E16" w:rsidRDefault="00195A45" w:rsidP="00195A45">
      <w:pPr>
        <w:spacing w:after="0" w:line="276" w:lineRule="auto"/>
        <w:ind w:firstLine="709"/>
        <w:jc w:val="both"/>
        <w:rPr>
          <w:rFonts w:ascii="Century Gothic" w:eastAsia="Calibri" w:hAnsi="Century Gothic" w:cs="Arial"/>
          <w:color w:val="000000"/>
          <w:lang w:val="es-ES" w:eastAsia="es-ES"/>
        </w:rPr>
      </w:pPr>
    </w:p>
    <w:p w14:paraId="34EDE83D" w14:textId="77777777" w:rsidR="00195A45" w:rsidRPr="000F0744" w:rsidRDefault="00195A45" w:rsidP="00195A4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0F0744">
        <w:rPr>
          <w:rFonts w:ascii="Verdana" w:eastAsia="Century Gothic" w:hAnsi="Verdana" w:cs="Century Gothic"/>
          <w:b/>
          <w:bCs/>
          <w:lang w:val="es-ES"/>
        </w:rPr>
        <w:t>Problema planteado:</w:t>
      </w:r>
    </w:p>
    <w:p w14:paraId="25F345B4" w14:textId="77777777" w:rsidR="00195A45" w:rsidRPr="000F0744" w:rsidRDefault="00195A45" w:rsidP="00195A45">
      <w:pPr>
        <w:tabs>
          <w:tab w:val="left" w:pos="426"/>
        </w:tabs>
        <w:spacing w:after="0" w:line="276" w:lineRule="auto"/>
        <w:jc w:val="both"/>
        <w:rPr>
          <w:rFonts w:ascii="Verdana" w:eastAsia="Century Gothic" w:hAnsi="Verdana" w:cs="Century Gothic"/>
          <w:lang w:val="es-ES"/>
        </w:rPr>
      </w:pPr>
    </w:p>
    <w:p w14:paraId="00C5C031" w14:textId="77777777" w:rsidR="009F14E2" w:rsidRPr="009F14E2" w:rsidRDefault="00195A45" w:rsidP="009F14E2">
      <w:pPr>
        <w:snapToGrid w:val="0"/>
        <w:spacing w:after="0" w:line="276" w:lineRule="auto"/>
        <w:jc w:val="both"/>
        <w:rPr>
          <w:rFonts w:ascii="Verdana" w:eastAsia="Century Gothic" w:hAnsi="Verdana" w:cs="Century Gothic"/>
          <w:lang w:eastAsia="es-MX"/>
        </w:rPr>
      </w:pPr>
      <w:r w:rsidRPr="009F14E2">
        <w:rPr>
          <w:rFonts w:ascii="Verdana" w:eastAsia="Century Gothic" w:hAnsi="Verdana" w:cs="Century Gothic"/>
        </w:rPr>
        <w:t>De acuerdo con el contenido de su solicitud, esta Agencia resolverá el siguiente problema jurídico:</w:t>
      </w:r>
      <w:r w:rsidRPr="009F14E2">
        <w:rPr>
          <w:rFonts w:ascii="Verdana" w:eastAsia="Century Gothic" w:hAnsi="Verdana" w:cs="Century Gothic"/>
          <w:sz w:val="20"/>
          <w:szCs w:val="20"/>
          <w:lang w:val="es-ES"/>
        </w:rPr>
        <w:t xml:space="preserve"> </w:t>
      </w:r>
      <w:r w:rsidR="009F14E2" w:rsidRPr="009F14E2">
        <w:rPr>
          <w:rFonts w:ascii="Verdana" w:eastAsia="Century Gothic" w:hAnsi="Verdana" w:cs="Century Gothic"/>
          <w:lang w:eastAsia="es-MX"/>
        </w:rPr>
        <w:t>¿Cómo opera el cálculo y la estructuración de los costos asociados a gastos de administración (A), imprevistos (I) y utilidades (U) –AIU–</w:t>
      </w:r>
      <w:r w:rsidR="000E0468">
        <w:rPr>
          <w:rFonts w:ascii="Verdana" w:eastAsia="Century Gothic" w:hAnsi="Verdana" w:cs="Century Gothic"/>
          <w:lang w:eastAsia="es-MX"/>
        </w:rPr>
        <w:t xml:space="preserve">en los </w:t>
      </w:r>
      <w:r w:rsidR="000E0468" w:rsidRPr="00C2765B">
        <w:rPr>
          <w:rFonts w:ascii="Verdana" w:eastAsia="Calibri" w:hAnsi="Verdana" w:cs="Arial"/>
          <w:color w:val="000000"/>
        </w:rPr>
        <w:t xml:space="preserve">Documentos Tipo de licitación de obra pública de infraestructura de transporte –versión </w:t>
      </w:r>
      <w:r w:rsidR="000E0468">
        <w:rPr>
          <w:rFonts w:ascii="Verdana" w:eastAsia="Calibri" w:hAnsi="Verdana" w:cs="Arial"/>
          <w:color w:val="000000"/>
        </w:rPr>
        <w:t>4</w:t>
      </w:r>
      <w:r w:rsidR="000E0468" w:rsidRPr="00C2765B">
        <w:rPr>
          <w:rFonts w:ascii="Verdana" w:eastAsia="Calibri" w:hAnsi="Verdana" w:cs="Arial"/>
          <w:color w:val="000000"/>
        </w:rPr>
        <w:t>–</w:t>
      </w:r>
      <w:r w:rsidR="009F14E2" w:rsidRPr="009F14E2">
        <w:rPr>
          <w:rFonts w:ascii="Verdana" w:eastAsia="Century Gothic" w:hAnsi="Verdana" w:cs="Century Gothic"/>
          <w:lang w:eastAsia="es-MX"/>
        </w:rPr>
        <w:t>?</w:t>
      </w:r>
    </w:p>
    <w:p w14:paraId="3D6ADB50" w14:textId="77777777" w:rsidR="00195A45" w:rsidRPr="000E0468" w:rsidRDefault="00195A45" w:rsidP="00195A45">
      <w:pPr>
        <w:spacing w:after="0" w:line="276" w:lineRule="auto"/>
        <w:jc w:val="both"/>
        <w:rPr>
          <w:rFonts w:ascii="Verdana" w:eastAsia="Century Gothic" w:hAnsi="Verdana" w:cs="Century Gothic"/>
        </w:rPr>
      </w:pPr>
    </w:p>
    <w:p w14:paraId="476C58CA" w14:textId="77777777" w:rsidR="00195A45" w:rsidRDefault="00195A45" w:rsidP="00195A45">
      <w:pPr>
        <w:spacing w:after="0" w:line="276" w:lineRule="auto"/>
        <w:jc w:val="both"/>
        <w:rPr>
          <w:rFonts w:ascii="Verdana" w:eastAsia="Century Gothic" w:hAnsi="Verdana" w:cs="Century Gothic"/>
        </w:rPr>
      </w:pPr>
      <w:r>
        <w:rPr>
          <w:rFonts w:ascii="Verdana" w:eastAsia="Century Gothic" w:hAnsi="Verdana" w:cs="Century Gothic"/>
        </w:rPr>
        <w:t xml:space="preserve"> </w:t>
      </w:r>
    </w:p>
    <w:p w14:paraId="229722B0" w14:textId="77777777" w:rsidR="00195A45" w:rsidRPr="000F0744" w:rsidRDefault="00195A45" w:rsidP="00195A45">
      <w:pPr>
        <w:spacing w:after="0" w:line="276" w:lineRule="auto"/>
        <w:jc w:val="both"/>
        <w:rPr>
          <w:rFonts w:ascii="Verdana" w:eastAsia="Century Gothic" w:hAnsi="Verdana" w:cs="Century Gothic"/>
          <w:b/>
          <w:bCs/>
          <w:lang w:val="es-ES"/>
        </w:rPr>
      </w:pPr>
      <w:r w:rsidRPr="000F0744">
        <w:rPr>
          <w:rFonts w:ascii="Verdana" w:eastAsia="Century Gothic" w:hAnsi="Verdana" w:cs="Century Gothic"/>
          <w:b/>
          <w:bCs/>
          <w:lang w:val="es-ES"/>
        </w:rPr>
        <w:t>Respuesta</w:t>
      </w:r>
      <w:r>
        <w:rPr>
          <w:rFonts w:ascii="Verdana" w:eastAsia="Century Gothic" w:hAnsi="Verdana" w:cs="Century Gothic"/>
          <w:b/>
          <w:bCs/>
          <w:lang w:val="es-ES"/>
        </w:rPr>
        <w:t>s</w:t>
      </w:r>
      <w:r w:rsidRPr="000F0744">
        <w:rPr>
          <w:rFonts w:ascii="Verdana" w:eastAsia="Century Gothic" w:hAnsi="Verdana" w:cs="Century Gothic"/>
          <w:b/>
          <w:bCs/>
          <w:lang w:val="es-ES"/>
        </w:rPr>
        <w:t>:</w:t>
      </w:r>
    </w:p>
    <w:p w14:paraId="1B1A8398" w14:textId="77777777" w:rsidR="00195A45" w:rsidRPr="006C7E16" w:rsidRDefault="00195A45" w:rsidP="00195A45">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95A45" w:rsidRPr="006C7E16" w14:paraId="296E8988" w14:textId="77777777" w:rsidTr="00162A72">
        <w:tc>
          <w:tcPr>
            <w:tcW w:w="8828" w:type="dxa"/>
            <w:shd w:val="clear" w:color="auto" w:fill="auto"/>
          </w:tcPr>
          <w:p w14:paraId="633726E6" w14:textId="77777777" w:rsidR="00926DF6" w:rsidRPr="00C2765B" w:rsidRDefault="00195A45" w:rsidP="00926DF6">
            <w:pPr>
              <w:adjustRightInd w:val="0"/>
              <w:spacing w:line="276" w:lineRule="auto"/>
              <w:jc w:val="both"/>
              <w:rPr>
                <w:rFonts w:ascii="Verdana" w:eastAsia="Calibri" w:hAnsi="Verdana" w:cs="Arial"/>
                <w:color w:val="000000"/>
              </w:rPr>
            </w:pPr>
            <w:r>
              <w:rPr>
                <w:rFonts w:ascii="Verdana" w:eastAsia="Calibri" w:hAnsi="Verdana" w:cs="Arial"/>
                <w:color w:val="000000"/>
              </w:rPr>
              <w:lastRenderedPageBreak/>
              <w:t xml:space="preserve"> </w:t>
            </w:r>
            <w:r w:rsidR="00926DF6" w:rsidRPr="00C2765B">
              <w:rPr>
                <w:rFonts w:ascii="Verdana" w:eastAsia="Calibri" w:hAnsi="Verdana" w:cs="Arial"/>
                <w:color w:val="000000"/>
              </w:rPr>
              <w:t xml:space="preserve">Los Documentos Tipo de licitación de obra pública de infraestructura de transporte –versión </w:t>
            </w:r>
            <w:r w:rsidR="009F14E2">
              <w:rPr>
                <w:rFonts w:ascii="Verdana" w:eastAsia="Calibri" w:hAnsi="Verdana" w:cs="Arial"/>
                <w:color w:val="000000"/>
              </w:rPr>
              <w:t>4</w:t>
            </w:r>
            <w:r w:rsidR="00926DF6" w:rsidRPr="00C2765B">
              <w:rPr>
                <w:rFonts w:ascii="Verdana" w:eastAsia="Calibri" w:hAnsi="Verdana" w:cs="Arial"/>
                <w:color w:val="000000"/>
              </w:rPr>
              <w:t>–, establecen las reglas aplicables al AIU en el “Anexo 3 – Glosario”, “Documento Base o Pliego Tipo” y “Formulario 1–Presupuesto Oficial”.</w:t>
            </w:r>
          </w:p>
          <w:p w14:paraId="55DC26BC" w14:textId="77777777" w:rsidR="00926DF6" w:rsidRPr="00C2765B" w:rsidRDefault="00926DF6" w:rsidP="00926DF6">
            <w:pPr>
              <w:adjustRightInd w:val="0"/>
              <w:spacing w:line="276" w:lineRule="auto"/>
              <w:jc w:val="both"/>
              <w:rPr>
                <w:rFonts w:ascii="Verdana" w:eastAsia="Aptos" w:hAnsi="Verdana" w:cs="Times New Roman"/>
                <w:lang w:val="es-MX"/>
              </w:rPr>
            </w:pPr>
          </w:p>
          <w:p w14:paraId="79C6EAB0" w14:textId="77777777" w:rsidR="00926DF6" w:rsidRPr="00C2765B" w:rsidRDefault="00926DF6" w:rsidP="00926DF6">
            <w:pPr>
              <w:adjustRightInd w:val="0"/>
              <w:spacing w:line="276" w:lineRule="auto"/>
              <w:jc w:val="both"/>
              <w:rPr>
                <w:rFonts w:ascii="Verdana" w:eastAsia="Aptos" w:hAnsi="Verdana" w:cs="Times New Roman"/>
                <w:lang w:val="es-MX"/>
              </w:rPr>
            </w:pPr>
            <w:r w:rsidRPr="00C2765B">
              <w:rPr>
                <w:rFonts w:ascii="Verdana" w:eastAsia="Aptos" w:hAnsi="Verdana" w:cs="Times New Roman"/>
                <w:lang w:val="es-MX"/>
              </w:rPr>
              <w:t>El proponente debe calcular un AIU que contenga todos los costos en los que incurre la organización del constructor para poder desarrollar la administración, los imprevistos y la utilidad o beneficio económico que pretende percibir por la ejecución del contrato.</w:t>
            </w:r>
          </w:p>
          <w:p w14:paraId="5F264D75" w14:textId="77777777" w:rsidR="00926DF6" w:rsidRPr="00C2765B" w:rsidRDefault="00926DF6" w:rsidP="00926DF6">
            <w:pPr>
              <w:adjustRightInd w:val="0"/>
              <w:spacing w:line="276" w:lineRule="auto"/>
              <w:jc w:val="both"/>
              <w:rPr>
                <w:rFonts w:ascii="Verdana" w:eastAsia="Aptos" w:hAnsi="Verdana" w:cs="Times New Roman"/>
                <w:lang w:val="es-MX"/>
              </w:rPr>
            </w:pPr>
          </w:p>
          <w:p w14:paraId="5B767484" w14:textId="77777777" w:rsidR="00926DF6" w:rsidRPr="00C2765B" w:rsidRDefault="00926DF6" w:rsidP="00926DF6">
            <w:pPr>
              <w:adjustRightInd w:val="0"/>
              <w:spacing w:line="276" w:lineRule="auto"/>
              <w:jc w:val="both"/>
              <w:rPr>
                <w:rFonts w:ascii="Verdana" w:eastAsia="Calibri" w:hAnsi="Verdana" w:cs="Arial"/>
                <w:color w:val="000000"/>
              </w:rPr>
            </w:pPr>
            <w:r w:rsidRPr="00C2765B">
              <w:rPr>
                <w:rFonts w:ascii="Verdana" w:eastAsia="Aptos" w:hAnsi="Verdana" w:cs="Times New Roman"/>
                <w:lang w:val="es-MX"/>
              </w:rPr>
              <w:t>El valor del AIU debe expresarse en un porcentaje (%) y consignarse y discriminarse en la propuesta económica.</w:t>
            </w:r>
          </w:p>
          <w:p w14:paraId="6A60E52F" w14:textId="77777777" w:rsidR="00926DF6" w:rsidRPr="00C2765B" w:rsidRDefault="00926DF6" w:rsidP="00926DF6">
            <w:pPr>
              <w:adjustRightInd w:val="0"/>
              <w:spacing w:line="276" w:lineRule="auto"/>
              <w:jc w:val="both"/>
              <w:rPr>
                <w:rFonts w:ascii="Verdana" w:eastAsia="Times New Roman" w:hAnsi="Verdana" w:cs="Times New Roman"/>
                <w:color w:val="000000"/>
                <w:lang w:eastAsia="es-MX"/>
              </w:rPr>
            </w:pPr>
          </w:p>
          <w:p w14:paraId="2245383C" w14:textId="77777777" w:rsidR="00926DF6" w:rsidRDefault="00926DF6" w:rsidP="00926DF6">
            <w:pPr>
              <w:adjustRightInd w:val="0"/>
              <w:spacing w:line="276" w:lineRule="auto"/>
              <w:jc w:val="both"/>
              <w:rPr>
                <w:rFonts w:ascii="Verdana" w:eastAsia="Aptos" w:hAnsi="Verdana" w:cs="Times New Roman"/>
                <w:lang w:val="es-MX"/>
              </w:rPr>
            </w:pPr>
            <w:r w:rsidRPr="00C2765B">
              <w:rPr>
                <w:rFonts w:ascii="Verdana" w:eastAsia="Aptos" w:hAnsi="Verdana" w:cs="Times New Roman"/>
                <w:lang w:val="es-MX"/>
              </w:rPr>
              <w:t xml:space="preserve">Cuando el proponente exprese el AIU en porcentaje (%) y en pesos, prevalece el valor expresado en porcentaje (%). El porcentaje del A.I.U. que presenten los Proponentes no debe ser superior al porcentaje total del A.I.U establecido en el </w:t>
            </w:r>
            <w:r w:rsidRPr="00C2765B">
              <w:rPr>
                <w:rFonts w:ascii="Verdana" w:eastAsia="Aptos" w:hAnsi="Verdana" w:cs="Times New Roman"/>
                <w:lang w:val="es-MX"/>
              </w:rPr>
              <w:fldChar w:fldCharType="begin"/>
            </w:r>
            <w:r w:rsidRPr="00C2765B">
              <w:rPr>
                <w:rFonts w:ascii="Verdana" w:eastAsia="Aptos" w:hAnsi="Verdana" w:cs="Times New Roman"/>
                <w:lang w:val="es-MX"/>
              </w:rPr>
              <w:instrText xml:space="preserve"> REF _Ref57725061 \h  \* MERGEFORMAT </w:instrText>
            </w:r>
            <w:r w:rsidRPr="00C2765B">
              <w:rPr>
                <w:rFonts w:ascii="Verdana" w:eastAsia="Aptos" w:hAnsi="Verdana" w:cs="Times New Roman"/>
                <w:lang w:val="es-MX"/>
              </w:rPr>
            </w:r>
            <w:r w:rsidRPr="00C2765B">
              <w:rPr>
                <w:rFonts w:ascii="Verdana" w:eastAsia="Aptos" w:hAnsi="Verdana" w:cs="Times New Roman"/>
                <w:lang w:val="es-MX"/>
              </w:rPr>
              <w:fldChar w:fldCharType="separate"/>
            </w:r>
            <w:r w:rsidRPr="00C2765B">
              <w:rPr>
                <w:rFonts w:ascii="Verdana" w:eastAsia="Aptos" w:hAnsi="Verdana" w:cs="Times New Roman"/>
                <w:lang w:val="es-MX"/>
              </w:rPr>
              <w:t>Formulario 1–Presupuesto Oficial</w:t>
            </w:r>
            <w:r w:rsidRPr="00C2765B">
              <w:rPr>
                <w:rFonts w:ascii="Verdana" w:eastAsia="Aptos" w:hAnsi="Verdana" w:cs="Times New Roman"/>
                <w:lang w:val="es-MX"/>
              </w:rPr>
              <w:fldChar w:fldCharType="end"/>
            </w:r>
            <w:r w:rsidRPr="00C2765B">
              <w:rPr>
                <w:rFonts w:ascii="Verdana" w:eastAsia="Aptos" w:hAnsi="Verdana" w:cs="Times New Roman"/>
                <w:lang w:val="es-MX"/>
              </w:rPr>
              <w:t xml:space="preserve">. En consecuencia, el Proponente puede configurar libremente el porcentaje individual de la A, de la I y de la U, siempre que la sumatoria de ellos no exceda el porcentaje total definido por la Entidad en el </w:t>
            </w:r>
            <w:r w:rsidRPr="00C2765B">
              <w:rPr>
                <w:rFonts w:ascii="Verdana" w:eastAsia="Aptos" w:hAnsi="Verdana" w:cs="Times New Roman"/>
                <w:lang w:val="es-MX"/>
              </w:rPr>
              <w:fldChar w:fldCharType="begin"/>
            </w:r>
            <w:r w:rsidRPr="00C2765B">
              <w:rPr>
                <w:rFonts w:ascii="Verdana" w:eastAsia="Aptos" w:hAnsi="Verdana" w:cs="Times New Roman"/>
                <w:lang w:val="es-MX"/>
              </w:rPr>
              <w:instrText xml:space="preserve"> REF _Ref57725061 \h  \* MERGEFORMAT </w:instrText>
            </w:r>
            <w:r w:rsidRPr="00C2765B">
              <w:rPr>
                <w:rFonts w:ascii="Verdana" w:eastAsia="Aptos" w:hAnsi="Verdana" w:cs="Times New Roman"/>
                <w:lang w:val="es-MX"/>
              </w:rPr>
            </w:r>
            <w:r w:rsidRPr="00C2765B">
              <w:rPr>
                <w:rFonts w:ascii="Verdana" w:eastAsia="Aptos" w:hAnsi="Verdana" w:cs="Times New Roman"/>
                <w:lang w:val="es-MX"/>
              </w:rPr>
              <w:fldChar w:fldCharType="separate"/>
            </w:r>
            <w:r w:rsidRPr="00C2765B">
              <w:rPr>
                <w:rFonts w:ascii="Verdana" w:eastAsia="Aptos" w:hAnsi="Verdana" w:cs="Times New Roman"/>
                <w:lang w:val="es-MX"/>
              </w:rPr>
              <w:t>Formulario 1–Presupuesto Oficial</w:t>
            </w:r>
            <w:r w:rsidRPr="00C2765B">
              <w:rPr>
                <w:rFonts w:ascii="Verdana" w:eastAsia="Aptos" w:hAnsi="Verdana" w:cs="Times New Roman"/>
                <w:lang w:val="es-MX"/>
              </w:rPr>
              <w:fldChar w:fldCharType="end"/>
            </w:r>
            <w:r w:rsidRPr="00C2765B">
              <w:rPr>
                <w:rFonts w:ascii="Verdana" w:eastAsia="Aptos" w:hAnsi="Verdana" w:cs="Times New Roman"/>
                <w:lang w:val="es-MX"/>
              </w:rPr>
              <w:t>.</w:t>
            </w:r>
          </w:p>
          <w:p w14:paraId="548B0873" w14:textId="77777777" w:rsidR="00BD2787" w:rsidRDefault="00BD2787" w:rsidP="00926DF6">
            <w:pPr>
              <w:adjustRightInd w:val="0"/>
              <w:spacing w:line="276" w:lineRule="auto"/>
              <w:jc w:val="both"/>
              <w:rPr>
                <w:rFonts w:ascii="Verdana" w:eastAsia="Aptos" w:hAnsi="Verdana" w:cs="Times New Roman"/>
                <w:lang w:val="es-MX"/>
              </w:rPr>
            </w:pPr>
          </w:p>
          <w:p w14:paraId="74CFF585" w14:textId="77777777" w:rsidR="00195A45" w:rsidRPr="00FB3257" w:rsidRDefault="00C52DE2" w:rsidP="00FB3257">
            <w:pPr>
              <w:adjustRightInd w:val="0"/>
              <w:spacing w:line="276" w:lineRule="auto"/>
              <w:jc w:val="both"/>
              <w:rPr>
                <w:rFonts w:ascii="Verdana" w:eastAsia="Calibri" w:hAnsi="Verdana" w:cs="Arial"/>
                <w:color w:val="000000"/>
              </w:rPr>
            </w:pPr>
            <w:r>
              <w:rPr>
                <w:rFonts w:ascii="Verdana" w:eastAsia="Aptos" w:hAnsi="Verdana" w:cs="Times New Roman"/>
                <w:lang w:val="es-MX"/>
              </w:rPr>
              <w:t xml:space="preserve">En este sentido, </w:t>
            </w:r>
            <w:r w:rsidR="00D40836">
              <w:rPr>
                <w:rFonts w:ascii="Verdana" w:eastAsia="Aptos" w:hAnsi="Verdana" w:cs="Times New Roman"/>
                <w:lang w:val="es-MX"/>
              </w:rPr>
              <w:t xml:space="preserve">de acuerdo con el literal Q </w:t>
            </w:r>
            <w:r w:rsidR="00A20F7B">
              <w:rPr>
                <w:rFonts w:ascii="Verdana" w:eastAsia="Aptos" w:hAnsi="Verdana" w:cs="Times New Roman"/>
                <w:lang w:val="es-MX"/>
              </w:rPr>
              <w:t xml:space="preserve">numeral 1.15 </w:t>
            </w:r>
            <w:r w:rsidR="00FB3257">
              <w:rPr>
                <w:rFonts w:ascii="Verdana" w:eastAsia="Aptos" w:hAnsi="Verdana" w:cs="Times New Roman"/>
                <w:lang w:val="es-MX"/>
              </w:rPr>
              <w:t>“</w:t>
            </w:r>
            <w:r w:rsidR="00FB3257" w:rsidRPr="00177B17">
              <w:rPr>
                <w:rFonts w:ascii="Verdana" w:eastAsia="Aptos" w:hAnsi="Verdana" w:cs="Times New Roman"/>
                <w:b/>
                <w:bCs/>
                <w:lang w:val="es-MX"/>
              </w:rPr>
              <w:t>CAUSA</w:t>
            </w:r>
            <w:r w:rsidR="00177B17" w:rsidRPr="00177B17">
              <w:rPr>
                <w:rFonts w:ascii="Verdana" w:eastAsia="Aptos" w:hAnsi="Verdana" w:cs="Times New Roman"/>
                <w:b/>
                <w:bCs/>
                <w:lang w:val="es-MX"/>
              </w:rPr>
              <w:t>LES DE RECHAZO”</w:t>
            </w:r>
            <w:r w:rsidR="00177B17">
              <w:rPr>
                <w:rFonts w:ascii="Verdana" w:eastAsia="Aptos" w:hAnsi="Verdana" w:cs="Times New Roman"/>
                <w:lang w:val="es-MX"/>
              </w:rPr>
              <w:t xml:space="preserve"> </w:t>
            </w:r>
            <w:r w:rsidR="00FB3257">
              <w:rPr>
                <w:rFonts w:ascii="Verdana" w:eastAsia="Aptos" w:hAnsi="Verdana" w:cs="Times New Roman"/>
                <w:lang w:val="es-MX"/>
              </w:rPr>
              <w:t xml:space="preserve">de los </w:t>
            </w:r>
            <w:r w:rsidRPr="00C2765B">
              <w:rPr>
                <w:rFonts w:ascii="Verdana" w:eastAsia="Calibri" w:hAnsi="Verdana" w:cs="Arial"/>
                <w:color w:val="000000"/>
              </w:rPr>
              <w:t xml:space="preserve">Documentos Tipo de licitación de obra pública de infraestructura de transporte –versión </w:t>
            </w:r>
            <w:r>
              <w:rPr>
                <w:rFonts w:ascii="Verdana" w:eastAsia="Calibri" w:hAnsi="Verdana" w:cs="Arial"/>
                <w:color w:val="000000"/>
              </w:rPr>
              <w:t>4</w:t>
            </w:r>
            <w:r w:rsidR="00FB3257">
              <w:rPr>
                <w:rFonts w:ascii="Verdana" w:eastAsia="Calibri" w:hAnsi="Verdana" w:cs="Arial"/>
                <w:color w:val="000000"/>
              </w:rPr>
              <w:t xml:space="preserve">- </w:t>
            </w:r>
            <w:r w:rsidR="00780E4A">
              <w:rPr>
                <w:rFonts w:ascii="Verdana" w:eastAsia="Calibri" w:hAnsi="Verdana" w:cs="Arial"/>
                <w:color w:val="000000"/>
              </w:rPr>
              <w:t xml:space="preserve">la Entidad deberá rechazar al proponente que oferte </w:t>
            </w:r>
            <w:r w:rsidR="00780E4A" w:rsidRPr="00780E4A">
              <w:rPr>
                <w:rFonts w:ascii="Verdana" w:eastAsia="Calibri" w:hAnsi="Verdana" w:cs="Arial"/>
                <w:color w:val="000000"/>
              </w:rPr>
              <w:t xml:space="preserve">como AIU un porcentaje cuya sumatoria sea superior al establecido por la Entidad en el </w:t>
            </w:r>
            <w:r w:rsidR="00780E4A" w:rsidRPr="00780E4A">
              <w:rPr>
                <w:rFonts w:ascii="Verdana" w:eastAsia="Calibri" w:hAnsi="Verdana" w:cs="Arial"/>
                <w:color w:val="000000"/>
              </w:rPr>
              <w:fldChar w:fldCharType="begin"/>
            </w:r>
            <w:r w:rsidR="00780E4A" w:rsidRPr="00780E4A">
              <w:rPr>
                <w:rFonts w:ascii="Verdana" w:eastAsia="Calibri" w:hAnsi="Verdana" w:cs="Arial"/>
                <w:color w:val="000000"/>
              </w:rPr>
              <w:instrText xml:space="preserve"> REF _Ref57725061 \h  \* MERGEFORMAT </w:instrText>
            </w:r>
            <w:r w:rsidR="00780E4A" w:rsidRPr="00780E4A">
              <w:rPr>
                <w:rFonts w:ascii="Verdana" w:eastAsia="Calibri" w:hAnsi="Verdana" w:cs="Arial"/>
                <w:color w:val="000000"/>
              </w:rPr>
            </w:r>
            <w:r w:rsidR="00780E4A" w:rsidRPr="00780E4A">
              <w:rPr>
                <w:rFonts w:ascii="Verdana" w:eastAsia="Calibri" w:hAnsi="Verdana" w:cs="Arial"/>
                <w:color w:val="000000"/>
              </w:rPr>
              <w:fldChar w:fldCharType="separate"/>
            </w:r>
            <w:r w:rsidR="00780E4A" w:rsidRPr="00780E4A">
              <w:rPr>
                <w:rFonts w:ascii="Verdana" w:eastAsia="Calibri" w:hAnsi="Verdana" w:cs="Arial"/>
                <w:color w:val="000000"/>
              </w:rPr>
              <w:t>Formulario 1– Formulario de Presupuesto Oficial</w:t>
            </w:r>
            <w:r w:rsidR="00780E4A" w:rsidRPr="00780E4A">
              <w:rPr>
                <w:rFonts w:ascii="Verdana" w:eastAsia="Calibri" w:hAnsi="Verdana" w:cs="Arial"/>
                <w:color w:val="000000"/>
              </w:rPr>
              <w:fldChar w:fldCharType="end"/>
            </w:r>
            <w:r w:rsidR="00D40836">
              <w:rPr>
                <w:rFonts w:ascii="Verdana" w:eastAsia="Calibri" w:hAnsi="Verdana" w:cs="Arial"/>
                <w:color w:val="000000"/>
              </w:rPr>
              <w:t xml:space="preserve">. </w:t>
            </w:r>
          </w:p>
          <w:p w14:paraId="690AF609" w14:textId="77777777" w:rsidR="00195A45" w:rsidRDefault="00195A45" w:rsidP="00162A72">
            <w:pPr>
              <w:jc w:val="both"/>
              <w:rPr>
                <w:rFonts w:ascii="Verdana" w:eastAsia="Calibri" w:hAnsi="Verdana" w:cs="Arial"/>
                <w:color w:val="000000"/>
              </w:rPr>
            </w:pPr>
          </w:p>
          <w:p w14:paraId="648DA7E3" w14:textId="77777777" w:rsidR="00195A45" w:rsidRPr="00C334B9" w:rsidRDefault="00195A45" w:rsidP="00162A72">
            <w:pPr>
              <w:jc w:val="both"/>
              <w:rPr>
                <w:rFonts w:ascii="Verdana" w:eastAsia="Calibri" w:hAnsi="Verdana" w:cs="Arial"/>
                <w:color w:val="000000"/>
              </w:rPr>
            </w:pPr>
          </w:p>
        </w:tc>
      </w:tr>
    </w:tbl>
    <w:p w14:paraId="109EE69F" w14:textId="77777777" w:rsidR="00195A45" w:rsidRPr="006C7E16" w:rsidRDefault="00195A45" w:rsidP="00195A45">
      <w:pPr>
        <w:tabs>
          <w:tab w:val="left" w:pos="142"/>
          <w:tab w:val="left" w:pos="284"/>
        </w:tabs>
        <w:spacing w:after="0" w:line="276" w:lineRule="auto"/>
        <w:jc w:val="both"/>
        <w:rPr>
          <w:rFonts w:ascii="Century Gothic" w:eastAsia="Century Gothic" w:hAnsi="Century Gothic" w:cs="Century Gothic"/>
          <w:b/>
          <w:bCs/>
          <w:lang w:val="es-ES"/>
        </w:rPr>
      </w:pPr>
    </w:p>
    <w:p w14:paraId="3B022ECA" w14:textId="77777777" w:rsidR="00195A45" w:rsidRPr="006C7E16" w:rsidRDefault="00195A45" w:rsidP="00195A4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Razones de la</w:t>
      </w:r>
      <w:r>
        <w:rPr>
          <w:rFonts w:ascii="Verdana" w:eastAsia="Century Gothic" w:hAnsi="Verdana" w:cs="Century Gothic"/>
          <w:b/>
          <w:bCs/>
          <w:lang w:val="es-ES"/>
        </w:rPr>
        <w:t>s</w:t>
      </w:r>
      <w:r w:rsidRPr="006C7E16">
        <w:rPr>
          <w:rFonts w:ascii="Verdana" w:eastAsia="Century Gothic" w:hAnsi="Verdana" w:cs="Century Gothic"/>
          <w:b/>
          <w:bCs/>
          <w:lang w:val="es-ES"/>
        </w:rPr>
        <w:t xml:space="preserve"> respuesta</w:t>
      </w:r>
      <w:r>
        <w:rPr>
          <w:rFonts w:ascii="Verdana" w:eastAsia="Century Gothic" w:hAnsi="Verdana" w:cs="Century Gothic"/>
          <w:b/>
          <w:bCs/>
          <w:lang w:val="es-ES"/>
        </w:rPr>
        <w:t>s</w:t>
      </w:r>
      <w:r w:rsidRPr="006C7E16">
        <w:rPr>
          <w:rFonts w:ascii="Verdana" w:eastAsia="Century Gothic" w:hAnsi="Verdana" w:cs="Century Gothic"/>
          <w:b/>
          <w:bCs/>
          <w:lang w:val="es-ES"/>
        </w:rPr>
        <w:t>:</w:t>
      </w:r>
    </w:p>
    <w:p w14:paraId="5DC9CABB" w14:textId="77777777" w:rsidR="00195A45" w:rsidRPr="006C7E16" w:rsidRDefault="00195A45" w:rsidP="00195A45">
      <w:pPr>
        <w:spacing w:after="0" w:line="276" w:lineRule="auto"/>
        <w:jc w:val="both"/>
        <w:rPr>
          <w:rFonts w:ascii="Verdana" w:eastAsia="Calibri" w:hAnsi="Verdana" w:cs="Arial"/>
          <w:color w:val="7030A0"/>
          <w:lang w:val="es-ES"/>
        </w:rPr>
      </w:pPr>
    </w:p>
    <w:p w14:paraId="21734F7D" w14:textId="77777777" w:rsidR="00195A45" w:rsidRDefault="00195A45" w:rsidP="00195A45">
      <w:pPr>
        <w:spacing w:after="0" w:line="276" w:lineRule="auto"/>
        <w:jc w:val="both"/>
        <w:rPr>
          <w:rFonts w:ascii="Verdana" w:eastAsia="Calibri" w:hAnsi="Verdana" w:cs="Arial"/>
          <w:lang w:val="es-ES"/>
        </w:rPr>
      </w:pPr>
      <w:r w:rsidRPr="006C7E16">
        <w:rPr>
          <w:rFonts w:ascii="Verdana" w:eastAsia="Calibri" w:hAnsi="Verdana" w:cs="Arial"/>
          <w:lang w:val="es-ES"/>
        </w:rPr>
        <w:t xml:space="preserve">Lo anterior se sustenta en las siguientes consideraciones: </w:t>
      </w:r>
    </w:p>
    <w:p w14:paraId="5FBD22EF" w14:textId="77777777" w:rsidR="00195A45" w:rsidRDefault="00195A45" w:rsidP="00195A45">
      <w:pPr>
        <w:spacing w:after="0" w:line="276" w:lineRule="auto"/>
        <w:jc w:val="both"/>
        <w:rPr>
          <w:rFonts w:ascii="Verdana" w:eastAsia="Calibri" w:hAnsi="Verdana" w:cs="Arial"/>
          <w:lang w:val="es-ES"/>
        </w:rPr>
      </w:pPr>
    </w:p>
    <w:p w14:paraId="75F21153" w14:textId="77777777" w:rsidR="00195A45" w:rsidRDefault="00195A45" w:rsidP="00195A45">
      <w:pPr>
        <w:spacing w:after="0" w:line="276" w:lineRule="auto"/>
        <w:jc w:val="both"/>
        <w:rPr>
          <w:rFonts w:ascii="Verdana" w:eastAsia="Calibri" w:hAnsi="Verdana" w:cs="Arial"/>
          <w:lang w:val="es-ES"/>
        </w:rPr>
      </w:pPr>
    </w:p>
    <w:p w14:paraId="628F8992" w14:textId="77777777" w:rsidR="00F962A1" w:rsidRPr="00C2765B" w:rsidRDefault="00F962A1" w:rsidP="00F962A1">
      <w:pPr>
        <w:numPr>
          <w:ilvl w:val="0"/>
          <w:numId w:val="25"/>
        </w:numPr>
        <w:adjustRightInd w:val="0"/>
        <w:snapToGrid w:val="0"/>
        <w:spacing w:after="0" w:line="276" w:lineRule="auto"/>
        <w:ind w:left="714" w:hanging="357"/>
        <w:jc w:val="both"/>
        <w:rPr>
          <w:rFonts w:ascii="Verdana" w:eastAsia="Calibri" w:hAnsi="Verdana" w:cs="Arial"/>
          <w:bCs/>
          <w:szCs w:val="24"/>
          <w:lang w:val="es-ES_tradnl" w:eastAsia="es-ES_tradnl"/>
        </w:rPr>
      </w:pPr>
      <w:r w:rsidRPr="00C2765B">
        <w:rPr>
          <w:rFonts w:ascii="Verdana" w:eastAsia="Calibri" w:hAnsi="Verdana" w:cs="Arial"/>
          <w:bCs/>
          <w:szCs w:val="24"/>
          <w:lang w:val="es-ES_tradnl" w:eastAsia="es-ES_tradnl"/>
        </w:rPr>
        <w:t xml:space="preserve">Como es sabido, uno de los elementos más comunes en los contratos estatales es el precio, también conocido como valor. Aunque no todo </w:t>
      </w:r>
      <w:r w:rsidRPr="00C2765B">
        <w:rPr>
          <w:rFonts w:ascii="Verdana" w:eastAsia="Calibri" w:hAnsi="Verdana" w:cs="Arial"/>
          <w:bCs/>
          <w:szCs w:val="24"/>
          <w:lang w:val="es-ES_tradnl" w:eastAsia="es-ES_tradnl"/>
        </w:rPr>
        <w:lastRenderedPageBreak/>
        <w:t>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379D9FF3" w14:textId="77777777" w:rsidR="00F962A1" w:rsidRPr="00C2765B" w:rsidRDefault="00F962A1" w:rsidP="00F962A1">
      <w:pPr>
        <w:adjustRightInd w:val="0"/>
        <w:snapToGrid w:val="0"/>
        <w:spacing w:after="0" w:line="276" w:lineRule="auto"/>
        <w:ind w:left="714" w:hanging="357"/>
        <w:jc w:val="both"/>
        <w:rPr>
          <w:rFonts w:ascii="Verdana" w:eastAsia="Calibri" w:hAnsi="Verdana" w:cs="Arial"/>
          <w:bCs/>
          <w:szCs w:val="24"/>
          <w:lang w:val="es-ES_tradnl" w:eastAsia="es-ES_tradnl"/>
        </w:rPr>
      </w:pPr>
    </w:p>
    <w:p w14:paraId="350DF50F" w14:textId="77777777" w:rsidR="00F962A1" w:rsidRPr="00C2765B" w:rsidRDefault="00F962A1" w:rsidP="00F962A1">
      <w:pPr>
        <w:numPr>
          <w:ilvl w:val="0"/>
          <w:numId w:val="25"/>
        </w:numPr>
        <w:adjustRightInd w:val="0"/>
        <w:snapToGrid w:val="0"/>
        <w:spacing w:after="0" w:line="276" w:lineRule="auto"/>
        <w:ind w:left="714" w:hanging="357"/>
        <w:jc w:val="both"/>
        <w:rPr>
          <w:rFonts w:ascii="Verdana" w:eastAsia="Calibri" w:hAnsi="Verdana" w:cs="Arial"/>
          <w:bCs/>
          <w:szCs w:val="24"/>
          <w:lang w:val="es-ES_tradnl" w:eastAsia="es-ES_tradnl"/>
        </w:rPr>
      </w:pPr>
      <w:r w:rsidRPr="00C2765B">
        <w:rPr>
          <w:rFonts w:ascii="Verdana" w:eastAsia="Calibri" w:hAnsi="Verdana" w:cs="Arial"/>
          <w:lang w:val="es-ES" w:eastAsia="es-ES"/>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C2765B">
        <w:rPr>
          <w:rFonts w:ascii="Verdana" w:eastAsia="Calibri" w:hAnsi="Verdana" w:cs="Times New Roman"/>
          <w:vertAlign w:val="superscript"/>
          <w:lang w:val="es-ES" w:eastAsia="es-ES"/>
        </w:rPr>
        <w:footnoteReference w:id="1"/>
      </w:r>
      <w:r w:rsidRPr="00C2765B">
        <w:rPr>
          <w:rFonts w:ascii="Verdana" w:eastAsia="Calibri" w:hAnsi="Verdana" w:cs="Arial"/>
          <w:lang w:val="es-ES" w:eastAsia="es-ES"/>
        </w:rPr>
        <w:t xml:space="preserve">.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w:t>
      </w:r>
      <w:r w:rsidRPr="00C2765B">
        <w:rPr>
          <w:rFonts w:ascii="Verdana" w:eastAsia="Calibri" w:hAnsi="Verdana" w:cs="Arial"/>
          <w:lang w:val="es-ES" w:eastAsia="es-ES"/>
        </w:rPr>
        <w:lastRenderedPageBreak/>
        <w:t xml:space="preserve">precio pueden citarse, entre otros: i) los precios unitarios –calculados de acuerdo con las unidades que componen el objeto del contrato–, </w:t>
      </w:r>
      <w:proofErr w:type="spellStart"/>
      <w:r w:rsidRPr="00C2765B">
        <w:rPr>
          <w:rFonts w:ascii="Verdana" w:eastAsia="Calibri" w:hAnsi="Verdana" w:cs="Arial"/>
          <w:lang w:val="es-ES" w:eastAsia="es-ES"/>
        </w:rPr>
        <w:t>ii</w:t>
      </w:r>
      <w:proofErr w:type="spellEnd"/>
      <w:r w:rsidRPr="00C2765B">
        <w:rPr>
          <w:rFonts w:ascii="Verdana" w:eastAsia="Calibri" w:hAnsi="Verdana" w:cs="Arial"/>
          <w:lang w:val="es-ES" w:eastAsia="es-ES"/>
        </w:rPr>
        <w:t xml:space="preserve">) el precio global –que equivale al monto total, sin discriminar unidades–, y </w:t>
      </w:r>
      <w:proofErr w:type="spellStart"/>
      <w:r w:rsidRPr="00C2765B">
        <w:rPr>
          <w:rFonts w:ascii="Verdana" w:eastAsia="Calibri" w:hAnsi="Verdana" w:cs="Arial"/>
          <w:lang w:val="es-ES" w:eastAsia="es-ES"/>
        </w:rPr>
        <w:t>iii</w:t>
      </w:r>
      <w:proofErr w:type="spellEnd"/>
      <w:r w:rsidRPr="00C2765B">
        <w:rPr>
          <w:rFonts w:ascii="Verdana" w:eastAsia="Calibri" w:hAnsi="Verdana" w:cs="Arial"/>
          <w:lang w:val="es-ES" w:eastAsia="es-ES"/>
        </w:rPr>
        <w:t>) la administración delegada de recursos –en la que se distinguen los costos de inversión de los honorarios del administrador–.</w:t>
      </w:r>
    </w:p>
    <w:p w14:paraId="737F1ABC" w14:textId="77777777" w:rsidR="00F962A1" w:rsidRPr="00C2765B" w:rsidRDefault="00F962A1" w:rsidP="00F962A1">
      <w:pPr>
        <w:adjustRightInd w:val="0"/>
        <w:snapToGrid w:val="0"/>
        <w:spacing w:after="0" w:line="276" w:lineRule="auto"/>
        <w:ind w:left="714" w:hanging="357"/>
        <w:jc w:val="both"/>
        <w:rPr>
          <w:rFonts w:ascii="Verdana" w:eastAsia="Calibri" w:hAnsi="Verdana" w:cs="Arial"/>
          <w:bCs/>
          <w:szCs w:val="24"/>
          <w:lang w:val="es-ES_tradnl" w:eastAsia="es-ES_tradnl"/>
        </w:rPr>
      </w:pPr>
    </w:p>
    <w:p w14:paraId="6E3199C7" w14:textId="77777777" w:rsidR="00F962A1" w:rsidRPr="00C2765B" w:rsidRDefault="00F962A1" w:rsidP="00F962A1">
      <w:pPr>
        <w:numPr>
          <w:ilvl w:val="0"/>
          <w:numId w:val="25"/>
        </w:numPr>
        <w:adjustRightInd w:val="0"/>
        <w:snapToGrid w:val="0"/>
        <w:spacing w:after="0" w:line="276" w:lineRule="auto"/>
        <w:ind w:left="714" w:hanging="357"/>
        <w:jc w:val="both"/>
        <w:rPr>
          <w:rFonts w:ascii="Verdana" w:eastAsia="Calibri" w:hAnsi="Verdana" w:cs="Arial"/>
          <w:bCs/>
          <w:szCs w:val="24"/>
          <w:lang w:val="es-ES_tradnl" w:eastAsia="es-ES_tradnl"/>
        </w:rPr>
      </w:pPr>
      <w:r w:rsidRPr="00C2765B">
        <w:rPr>
          <w:rFonts w:ascii="Verdana" w:eastAsia="Calibri" w:hAnsi="Verdana" w:cs="Arial"/>
          <w:lang w:val="es-ES" w:eastAsia="es-ES"/>
        </w:rPr>
        <w:t xml:space="preserve">Pues bien, en los contratos cuyo precio se estructura a partir del sistema de precios unitarios, ha hecho parte de la práctica de los negocios que el contratante le solicite al potencial contratista que separe en su propuesta los </w:t>
      </w:r>
      <w:r w:rsidRPr="00C2765B">
        <w:rPr>
          <w:rFonts w:ascii="Verdana" w:eastAsia="Calibri" w:hAnsi="Verdana" w:cs="Arial"/>
          <w:i/>
          <w:iCs/>
          <w:lang w:val="es-ES" w:eastAsia="es-ES"/>
        </w:rPr>
        <w:t>costos directos</w:t>
      </w:r>
      <w:r w:rsidRPr="00C2765B">
        <w:rPr>
          <w:rFonts w:ascii="Verdana" w:eastAsia="Calibri" w:hAnsi="Verdana" w:cs="Arial"/>
          <w:lang w:val="es-ES" w:eastAsia="es-ES"/>
        </w:rPr>
        <w:t xml:space="preserve"> –es decir, los que están directamente implicados en la ejecución del objeto–, de los </w:t>
      </w:r>
      <w:r w:rsidRPr="00C2765B">
        <w:rPr>
          <w:rFonts w:ascii="Verdana" w:eastAsia="Calibri" w:hAnsi="Verdana" w:cs="Arial"/>
          <w:i/>
          <w:iCs/>
          <w:lang w:val="es-ES" w:eastAsia="es-ES"/>
        </w:rPr>
        <w:t>costos indirectos</w:t>
      </w:r>
      <w:r w:rsidRPr="00C2765B">
        <w:rPr>
          <w:rFonts w:ascii="Verdana" w:eastAsia="Calibri" w:hAnsi="Verdana" w:cs="Arial"/>
          <w:lang w:val="es-ES" w:eastAsia="es-ES"/>
        </w:rPr>
        <w:t xml:space="preserve">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w:t>
      </w:r>
      <w:r w:rsidRPr="00C2765B">
        <w:rPr>
          <w:rFonts w:ascii="Verdana" w:eastAsia="Calibri" w:hAnsi="Verdana" w:cs="Arial"/>
          <w:i/>
          <w:iCs/>
          <w:lang w:val="es-ES" w:eastAsia="es-ES"/>
        </w:rPr>
        <w:t>costos directos</w:t>
      </w:r>
      <w:r w:rsidRPr="00C2765B">
        <w:rPr>
          <w:rFonts w:ascii="Verdana" w:eastAsia="Calibri" w:hAnsi="Verdana" w:cs="Arial"/>
          <w:lang w:val="es-ES" w:eastAsia="es-ES"/>
        </w:rPr>
        <w:t xml:space="preserve"> se evidencian en el análisis de precios unitarios –APU–, como la sumatoria de los valores de los </w:t>
      </w:r>
      <w:r w:rsidRPr="00C2765B">
        <w:rPr>
          <w:rFonts w:ascii="Verdana" w:eastAsia="Calibri" w:hAnsi="Verdana" w:cs="Arial"/>
          <w:i/>
          <w:iCs/>
          <w:lang w:val="es-ES" w:eastAsia="es-ES"/>
        </w:rPr>
        <w:t>ítems</w:t>
      </w:r>
      <w:r w:rsidRPr="00C2765B">
        <w:rPr>
          <w:rFonts w:ascii="Verdana" w:eastAsia="Calibri" w:hAnsi="Verdana" w:cs="Arial"/>
          <w:lang w:val="es-ES" w:eastAsia="es-ES"/>
        </w:rPr>
        <w:t xml:space="preserve"> según su unidad de medida, los </w:t>
      </w:r>
      <w:r w:rsidRPr="00C2765B">
        <w:rPr>
          <w:rFonts w:ascii="Verdana" w:eastAsia="Calibri" w:hAnsi="Verdana" w:cs="Arial"/>
          <w:i/>
          <w:iCs/>
          <w:lang w:val="es-ES" w:eastAsia="es-ES"/>
        </w:rPr>
        <w:t>costos indirectos</w:t>
      </w:r>
      <w:r w:rsidRPr="00C2765B">
        <w:rPr>
          <w:rFonts w:ascii="Verdana" w:eastAsia="Calibri" w:hAnsi="Verdana" w:cs="Arial"/>
          <w:lang w:val="es-ES" w:eastAsia="es-ES"/>
        </w:rPr>
        <w:t xml:space="preserve"> se suelen abreviar en las variables que integran el acrónimo AIU –Administración, Imprevistos y Utilidad–. </w:t>
      </w:r>
    </w:p>
    <w:p w14:paraId="7FE54E51" w14:textId="77777777" w:rsidR="00F962A1" w:rsidRPr="00C2765B" w:rsidRDefault="00F962A1" w:rsidP="00F962A1">
      <w:pPr>
        <w:adjustRightInd w:val="0"/>
        <w:snapToGrid w:val="0"/>
        <w:spacing w:after="0" w:line="276" w:lineRule="auto"/>
        <w:ind w:left="714" w:hanging="357"/>
        <w:rPr>
          <w:rFonts w:ascii="Verdana" w:eastAsia="Calibri" w:hAnsi="Verdana" w:cs="Arial"/>
          <w:bCs/>
          <w:szCs w:val="24"/>
          <w:lang w:val="es-ES" w:eastAsia="es-ES_tradnl"/>
        </w:rPr>
      </w:pPr>
    </w:p>
    <w:p w14:paraId="1AFA7057" w14:textId="77777777" w:rsidR="00F962A1" w:rsidRPr="00C2765B" w:rsidRDefault="00F962A1" w:rsidP="00F962A1">
      <w:pPr>
        <w:numPr>
          <w:ilvl w:val="0"/>
          <w:numId w:val="25"/>
        </w:numPr>
        <w:adjustRightInd w:val="0"/>
        <w:snapToGrid w:val="0"/>
        <w:spacing w:after="0" w:line="276" w:lineRule="auto"/>
        <w:ind w:left="714" w:hanging="357"/>
        <w:jc w:val="both"/>
        <w:rPr>
          <w:rFonts w:ascii="Verdana" w:eastAsia="Calibri" w:hAnsi="Verdana" w:cs="Arial"/>
          <w:bCs/>
          <w:szCs w:val="24"/>
          <w:lang w:val="es-ES_tradnl" w:eastAsia="es-ES_tradnl"/>
        </w:rPr>
      </w:pPr>
      <w:r w:rsidRPr="00C2765B">
        <w:rPr>
          <w:rFonts w:ascii="Verdana" w:eastAsia="Calibri" w:hAnsi="Verdana" w:cs="Arial"/>
          <w:bCs/>
          <w:szCs w:val="24"/>
          <w:lang w:val="es-ES" w:eastAsia="es-ES_tradnl"/>
        </w:rPr>
        <w:t>L</w:t>
      </w:r>
      <w:r w:rsidRPr="00C2765B">
        <w:rPr>
          <w:rFonts w:ascii="Verdana" w:eastAsia="Calibri" w:hAnsi="Verdana" w:cs="Arial"/>
          <w:bCs/>
          <w:szCs w:val="24"/>
          <w:lang w:val="es-ES_tradnl" w:eastAsia="es-ES_tradnl"/>
        </w:rPr>
        <w:t xml:space="preserve">a jurisprudencia ha señalado que “[…] </w:t>
      </w:r>
      <w:r w:rsidRPr="00C2765B">
        <w:rPr>
          <w:rFonts w:ascii="Verdana" w:eastAsia="Calibri" w:hAnsi="Verdana" w:cs="Arial"/>
          <w:bCs/>
          <w:szCs w:val="24"/>
          <w:lang w:val="es-ES" w:eastAsia="es-ES_tradnl"/>
        </w:rPr>
        <w:t>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r w:rsidRPr="00C2765B">
        <w:rPr>
          <w:rFonts w:ascii="Verdana" w:eastAsia="Calibri" w:hAnsi="Verdana" w:cs="Arial"/>
          <w:bCs/>
          <w:szCs w:val="24"/>
          <w:lang w:val="es-ES_tradnl" w:eastAsia="es-ES_tradnl"/>
        </w:rPr>
        <w:t>”</w:t>
      </w:r>
      <w:r w:rsidRPr="00C2765B">
        <w:rPr>
          <w:rFonts w:ascii="Verdana" w:eastAsia="Calibri" w:hAnsi="Verdana" w:cs="Arial"/>
          <w:bCs/>
          <w:szCs w:val="24"/>
          <w:vertAlign w:val="superscript"/>
          <w:lang w:val="es-ES_tradnl" w:eastAsia="es-ES_tradnl"/>
        </w:rPr>
        <w:footnoteReference w:id="2"/>
      </w:r>
      <w:r w:rsidRPr="00C2765B">
        <w:rPr>
          <w:rFonts w:ascii="Verdana" w:eastAsia="Calibri" w:hAnsi="Verdana" w:cs="Arial"/>
          <w:bCs/>
          <w:szCs w:val="24"/>
          <w:lang w:val="es-ES" w:eastAsia="es-ES_tradnl"/>
        </w:rPr>
        <w:t>. En concordancia, la doctrina explica que en la estructuración de los precios unitarios se tendrán en cuenta todos los costos directos necesarios para la ejecución del objeto contractual que se multiplicará por al AIU, lo que determina el valor unitario:</w:t>
      </w:r>
    </w:p>
    <w:p w14:paraId="14B47746" w14:textId="77777777" w:rsidR="00F962A1" w:rsidRPr="00C2765B" w:rsidRDefault="00F962A1" w:rsidP="00F962A1">
      <w:pPr>
        <w:spacing w:after="0" w:line="276" w:lineRule="auto"/>
        <w:ind w:firstLine="709"/>
        <w:jc w:val="both"/>
        <w:rPr>
          <w:rFonts w:ascii="Verdana" w:eastAsia="Calibri" w:hAnsi="Verdana" w:cs="Arial"/>
          <w:bCs/>
          <w:szCs w:val="24"/>
          <w:lang w:eastAsia="es-ES_tradnl"/>
        </w:rPr>
      </w:pPr>
    </w:p>
    <w:p w14:paraId="6A507EB6" w14:textId="77777777" w:rsidR="00F962A1" w:rsidRPr="00C2765B" w:rsidRDefault="00F962A1" w:rsidP="00F962A1">
      <w:pPr>
        <w:tabs>
          <w:tab w:val="left" w:pos="709"/>
        </w:tabs>
        <w:adjustRightInd w:val="0"/>
        <w:snapToGrid w:val="0"/>
        <w:spacing w:after="0" w:line="240" w:lineRule="auto"/>
        <w:ind w:left="709" w:right="709"/>
        <w:jc w:val="both"/>
        <w:rPr>
          <w:rFonts w:ascii="Verdana" w:eastAsia="Calibri" w:hAnsi="Verdana" w:cs="Arial"/>
          <w:sz w:val="21"/>
          <w:szCs w:val="21"/>
          <w:lang w:val="es-ES" w:eastAsia="es-ES"/>
        </w:rPr>
      </w:pPr>
      <w:r w:rsidRPr="00C2765B">
        <w:rPr>
          <w:rFonts w:ascii="Verdana" w:eastAsia="Calibri" w:hAnsi="Verdana" w:cs="Arial"/>
          <w:sz w:val="21"/>
          <w:szCs w:val="21"/>
          <w:lang w:val="es-ES" w:eastAsia="es-ES"/>
        </w:rPr>
        <w:lastRenderedPageBreak/>
        <w:t>“Cada uno de los valores unitarios resultan de un análisis de los componentes requeridos para su elaboración, estudio que se denomina comúnmente ‘análisis de precios unitarios’.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 insumos básicos arroja el costo directo que debe cancelar el contratista para la construcción de un metro de muro.</w:t>
      </w:r>
    </w:p>
    <w:p w14:paraId="2D19F47E" w14:textId="77777777" w:rsidR="00F962A1" w:rsidRPr="00C2765B" w:rsidRDefault="00F962A1" w:rsidP="00F962A1">
      <w:pPr>
        <w:tabs>
          <w:tab w:val="left" w:pos="709"/>
        </w:tabs>
        <w:adjustRightInd w:val="0"/>
        <w:snapToGrid w:val="0"/>
        <w:spacing w:after="0" w:line="240" w:lineRule="auto"/>
        <w:ind w:left="709" w:right="709"/>
        <w:jc w:val="both"/>
        <w:rPr>
          <w:rFonts w:ascii="Verdana" w:eastAsia="Calibri" w:hAnsi="Verdana" w:cs="Arial"/>
          <w:sz w:val="21"/>
          <w:szCs w:val="21"/>
          <w:lang w:val="es-ES" w:eastAsia="es-ES"/>
        </w:rPr>
      </w:pPr>
    </w:p>
    <w:p w14:paraId="57C56096" w14:textId="77777777" w:rsidR="00F962A1" w:rsidRPr="00C2765B" w:rsidRDefault="00F962A1" w:rsidP="00F962A1">
      <w:pPr>
        <w:tabs>
          <w:tab w:val="left" w:pos="709"/>
        </w:tabs>
        <w:adjustRightInd w:val="0"/>
        <w:snapToGrid w:val="0"/>
        <w:spacing w:after="0" w:line="240" w:lineRule="auto"/>
        <w:ind w:left="709" w:right="709"/>
        <w:jc w:val="both"/>
        <w:rPr>
          <w:rFonts w:ascii="Verdana" w:eastAsia="Calibri" w:hAnsi="Verdana" w:cs="Arial"/>
          <w:sz w:val="21"/>
          <w:szCs w:val="21"/>
          <w:lang w:val="es-ES_tradnl" w:eastAsia="es-ES_tradnl"/>
        </w:rPr>
      </w:pPr>
      <w:r w:rsidRPr="00C2765B">
        <w:rPr>
          <w:rFonts w:ascii="Verdana" w:eastAsia="Calibri" w:hAnsi="Verdana" w:cs="Arial"/>
          <w:sz w:val="21"/>
          <w:szCs w:val="21"/>
          <w:lang w:val="es-ES_tradnl" w:eastAsia="es-ES_tradnl"/>
        </w:rPr>
        <w:t>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 Dentro del valor unitario, entonces, están incorporados la totalidad de los gastos en los que incurre el contratista y la utilidad que espera recibir”</w:t>
      </w:r>
      <w:r w:rsidRPr="00C2765B">
        <w:rPr>
          <w:rFonts w:ascii="Verdana" w:eastAsia="Calibri" w:hAnsi="Verdana" w:cs="Arial"/>
          <w:sz w:val="21"/>
          <w:szCs w:val="21"/>
          <w:vertAlign w:val="superscript"/>
          <w:lang w:val="es-ES_tradnl" w:eastAsia="es-ES_tradnl"/>
        </w:rPr>
        <w:footnoteReference w:id="3"/>
      </w:r>
      <w:r w:rsidRPr="00C2765B">
        <w:rPr>
          <w:rFonts w:ascii="Verdana" w:eastAsia="Calibri" w:hAnsi="Verdana" w:cs="Arial"/>
          <w:sz w:val="21"/>
          <w:szCs w:val="21"/>
          <w:lang w:val="es-ES_tradnl" w:eastAsia="es-ES_tradnl"/>
        </w:rPr>
        <w:t xml:space="preserve">. </w:t>
      </w:r>
    </w:p>
    <w:p w14:paraId="4A173A07" w14:textId="77777777" w:rsidR="00F962A1" w:rsidRPr="00C2765B" w:rsidRDefault="00F962A1" w:rsidP="00F962A1">
      <w:pPr>
        <w:spacing w:after="0" w:line="276" w:lineRule="auto"/>
        <w:jc w:val="both"/>
        <w:rPr>
          <w:rFonts w:ascii="Verdana" w:eastAsia="Calibri" w:hAnsi="Verdana" w:cs="Arial"/>
          <w:szCs w:val="24"/>
          <w:lang w:val="es-ES_tradnl" w:eastAsia="es-ES_tradnl"/>
        </w:rPr>
      </w:pPr>
    </w:p>
    <w:p w14:paraId="7819E8B8"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szCs w:val="24"/>
          <w:lang w:val="es-ES_tradnl" w:eastAsia="es-ES_tradnl"/>
        </w:rPr>
      </w:pPr>
      <w:r w:rsidRPr="00C2765B">
        <w:rPr>
          <w:rFonts w:ascii="Verdana" w:eastAsia="Calibri" w:hAnsi="Verdana" w:cs="Arial"/>
          <w:szCs w:val="24"/>
          <w:lang w:val="es-ES_tradnl" w:eastAsia="es-ES_tradnl"/>
        </w:rPr>
        <w:t xml:space="preserve">Por su parte, de acuerdo con la Sección Tercera del Consejo de Estado, el AIU, concepto de común utilización en los contratos de tracto sucesivo –entre ellos, los contratos de obra– no cuenta con una definición normativa, pero hay elementos que permiten precisar su alcance, así: </w:t>
      </w:r>
    </w:p>
    <w:p w14:paraId="1501D44E" w14:textId="77777777" w:rsidR="00F962A1" w:rsidRPr="00C2765B" w:rsidRDefault="00F962A1" w:rsidP="00F962A1">
      <w:pPr>
        <w:spacing w:after="0" w:line="276" w:lineRule="auto"/>
        <w:ind w:firstLine="709"/>
        <w:jc w:val="both"/>
        <w:rPr>
          <w:rFonts w:ascii="Verdana" w:eastAsia="Calibri" w:hAnsi="Verdana" w:cs="Arial"/>
          <w:szCs w:val="24"/>
          <w:lang w:val="es-ES_tradnl" w:eastAsia="es-ES_tradnl"/>
        </w:rPr>
      </w:pPr>
    </w:p>
    <w:p w14:paraId="023A78C0"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_tradnl" w:eastAsia="es-ES_tradnl"/>
        </w:rPr>
      </w:pPr>
      <w:r w:rsidRPr="00C2765B">
        <w:rPr>
          <w:rFonts w:ascii="Verdana" w:eastAsia="Calibri" w:hAnsi="Verdana" w:cs="Arial"/>
          <w:sz w:val="21"/>
          <w:szCs w:val="21"/>
          <w:lang w:val="es-ES_tradnl" w:eastAsia="es-ES_tradnl"/>
        </w:rPr>
        <w:t xml:space="preserve">“[…] el AIU propuesto para el contrato, corresponde a: </w:t>
      </w:r>
    </w:p>
    <w:p w14:paraId="18370B02"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_tradnl" w:eastAsia="es-ES_tradnl"/>
        </w:rPr>
      </w:pPr>
    </w:p>
    <w:p w14:paraId="12AE1A7B"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_tradnl" w:eastAsia="es-ES_tradnl"/>
        </w:rPr>
      </w:pPr>
      <w:r w:rsidRPr="00C2765B">
        <w:rPr>
          <w:rFonts w:ascii="Verdana" w:eastAsia="Calibri" w:hAnsi="Verdana" w:cs="Arial"/>
          <w:sz w:val="21"/>
          <w:szCs w:val="21"/>
          <w:lang w:val="es-ES_tradnl" w:eastAsia="es-ES_tradnl"/>
        </w:rPr>
        <w:t xml:space="preserve">i) los costos de administración o costos indirectos para la operación del contrato, tales como los gastos de disponibilidad de la organización del contratista, esto es: A; </w:t>
      </w:r>
    </w:p>
    <w:p w14:paraId="3C3AA77E"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_tradnl" w:eastAsia="es-ES_tradnl"/>
        </w:rPr>
      </w:pPr>
    </w:p>
    <w:p w14:paraId="31385934"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 w:eastAsia="es-ES"/>
        </w:rPr>
      </w:pPr>
      <w:proofErr w:type="spellStart"/>
      <w:r w:rsidRPr="00C2765B">
        <w:rPr>
          <w:rFonts w:ascii="Verdana" w:eastAsia="Calibri" w:hAnsi="Verdana" w:cs="Arial"/>
          <w:sz w:val="21"/>
          <w:szCs w:val="21"/>
          <w:lang w:val="es-ES" w:eastAsia="es-ES"/>
        </w:rPr>
        <w:t>ii</w:t>
      </w:r>
      <w:proofErr w:type="spellEnd"/>
      <w:r w:rsidRPr="00C2765B">
        <w:rPr>
          <w:rFonts w:ascii="Verdana" w:eastAsia="Calibri" w:hAnsi="Verdana" w:cs="Arial"/>
          <w:sz w:val="21"/>
          <w:szCs w:val="21"/>
          <w:lang w:val="es-ES" w:eastAsia="es-ES"/>
        </w:rPr>
        <w:t xml:space="preserve">) los imprevistos, que es el porcentaje destinado a cubrir los gastos con los que no se contaba y que se presenten durante la ejecución del contrato, esto es, el </w:t>
      </w:r>
      <w:proofErr w:type="spellStart"/>
      <w:r w:rsidRPr="00C2765B">
        <w:rPr>
          <w:rFonts w:ascii="Verdana" w:eastAsia="Calibri" w:hAnsi="Verdana" w:cs="Arial"/>
          <w:sz w:val="21"/>
          <w:szCs w:val="21"/>
          <w:lang w:val="es-ES" w:eastAsia="es-ES"/>
        </w:rPr>
        <w:t>álea</w:t>
      </w:r>
      <w:proofErr w:type="spellEnd"/>
      <w:r w:rsidRPr="00C2765B">
        <w:rPr>
          <w:rFonts w:ascii="Verdana" w:eastAsia="Calibri" w:hAnsi="Verdana" w:cs="Arial"/>
          <w:sz w:val="21"/>
          <w:szCs w:val="21"/>
          <w:lang w:val="es-ES" w:eastAsia="es-ES"/>
        </w:rPr>
        <w:t xml:space="preserve"> normal del contrato: I; </w:t>
      </w:r>
    </w:p>
    <w:p w14:paraId="59C2DDDB"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 w:eastAsia="es-ES"/>
        </w:rPr>
      </w:pPr>
    </w:p>
    <w:p w14:paraId="23C5FCB7"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 w:eastAsia="es-ES"/>
        </w:rPr>
      </w:pPr>
      <w:proofErr w:type="spellStart"/>
      <w:r w:rsidRPr="00C2765B">
        <w:rPr>
          <w:rFonts w:ascii="Verdana" w:eastAsia="Calibri" w:hAnsi="Verdana" w:cs="Arial"/>
          <w:sz w:val="21"/>
          <w:szCs w:val="21"/>
          <w:lang w:val="es-ES" w:eastAsia="es-ES"/>
        </w:rPr>
        <w:t>iii</w:t>
      </w:r>
      <w:proofErr w:type="spellEnd"/>
      <w:r w:rsidRPr="00C2765B">
        <w:rPr>
          <w:rFonts w:ascii="Verdana" w:eastAsia="Calibri" w:hAnsi="Verdana" w:cs="Arial"/>
          <w:sz w:val="21"/>
          <w:szCs w:val="21"/>
          <w:lang w:val="es-ES" w:eastAsia="es-ES"/>
        </w:rPr>
        <w:t xml:space="preserve">) la utilidad o el beneficio económico que pretende percibir el contratista por la ejecución del contrato, esto es: U. </w:t>
      </w:r>
    </w:p>
    <w:p w14:paraId="7D7CD05E"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 w:eastAsia="es-ES"/>
        </w:rPr>
      </w:pPr>
    </w:p>
    <w:p w14:paraId="3852A8D3" w14:textId="77777777" w:rsidR="00F962A1" w:rsidRPr="00C2765B" w:rsidRDefault="00F962A1" w:rsidP="00F962A1">
      <w:pPr>
        <w:tabs>
          <w:tab w:val="left" w:pos="709"/>
        </w:tabs>
        <w:spacing w:after="0" w:line="240" w:lineRule="auto"/>
        <w:ind w:left="709" w:right="709"/>
        <w:jc w:val="both"/>
        <w:rPr>
          <w:rFonts w:ascii="Verdana" w:eastAsia="Calibri" w:hAnsi="Verdana" w:cs="Arial"/>
          <w:sz w:val="21"/>
          <w:szCs w:val="21"/>
          <w:lang w:val="es-ES_tradnl" w:eastAsia="es-ES_tradnl"/>
        </w:rPr>
      </w:pPr>
      <w:r w:rsidRPr="00C2765B">
        <w:rPr>
          <w:rFonts w:ascii="Verdana" w:eastAsia="Calibri" w:hAnsi="Verdana" w:cs="Arial"/>
          <w:sz w:val="21"/>
          <w:szCs w:val="21"/>
          <w:lang w:val="es-ES_tradnl" w:eastAsia="es-ES_tradnl"/>
        </w:rPr>
        <w:t xml:space="preserve">Ahora, teniendo en cuenta que no existe ninguna reglamentación que establezca porcentajes mínimos o máximos para determinar el A.I.U., cada empresa o comerciante de acuerdo con su infraestructura, </w:t>
      </w:r>
      <w:r w:rsidRPr="00C2765B">
        <w:rPr>
          <w:rFonts w:ascii="Verdana" w:eastAsia="Calibri" w:hAnsi="Verdana" w:cs="Arial"/>
          <w:sz w:val="21"/>
          <w:szCs w:val="21"/>
          <w:lang w:val="es-ES_tradnl" w:eastAsia="es-ES_tradnl"/>
        </w:rPr>
        <w:lastRenderedPageBreak/>
        <w:t>experiencia, las condiciones del mercado, la naturaleza del contrato a celebrar, entre otros factores, establece su estructura de costos conforme a la cual se compromete a ejecutar cabalmente un contrato en el caso de que le sea adjudicado”</w:t>
      </w:r>
      <w:r w:rsidRPr="00C2765B">
        <w:rPr>
          <w:rFonts w:ascii="Verdana" w:eastAsia="Calibri" w:hAnsi="Verdana" w:cs="Arial"/>
          <w:sz w:val="21"/>
          <w:szCs w:val="21"/>
          <w:vertAlign w:val="superscript"/>
          <w:lang w:val="es-ES_tradnl" w:eastAsia="es-ES_tradnl"/>
        </w:rPr>
        <w:footnoteReference w:id="4"/>
      </w:r>
      <w:r w:rsidRPr="00C2765B">
        <w:rPr>
          <w:rFonts w:ascii="Verdana" w:eastAsia="Calibri" w:hAnsi="Verdana" w:cs="Arial"/>
          <w:sz w:val="21"/>
          <w:szCs w:val="21"/>
          <w:lang w:val="es-ES_tradnl" w:eastAsia="es-ES_tradnl"/>
        </w:rPr>
        <w:t>.</w:t>
      </w:r>
    </w:p>
    <w:p w14:paraId="56237819" w14:textId="77777777" w:rsidR="00F962A1" w:rsidRPr="00C2765B" w:rsidRDefault="00F962A1" w:rsidP="00F962A1">
      <w:pPr>
        <w:tabs>
          <w:tab w:val="left" w:pos="709"/>
        </w:tabs>
        <w:spacing w:after="0" w:line="276" w:lineRule="auto"/>
        <w:ind w:left="709" w:right="760"/>
        <w:jc w:val="both"/>
        <w:rPr>
          <w:rFonts w:ascii="Verdana" w:eastAsia="Calibri" w:hAnsi="Verdana" w:cs="Arial"/>
          <w:szCs w:val="24"/>
          <w:lang w:val="es-ES_tradnl" w:eastAsia="es-ES_tradnl"/>
        </w:rPr>
      </w:pPr>
    </w:p>
    <w:p w14:paraId="29C341EE"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A su turno, la Sala de Consulta y Servicio Civil del Consejo de Estado sostuvo en concepto del 5 de septiembre de 2018</w:t>
      </w:r>
      <w:r w:rsidRPr="00C2765B">
        <w:rPr>
          <w:rFonts w:ascii="Verdana" w:eastAsia="Calibri" w:hAnsi="Verdana" w:cs="Times New Roman"/>
          <w:vertAlign w:val="superscript"/>
          <w:lang w:val="es-ES" w:eastAsia="es-ES"/>
        </w:rPr>
        <w:footnoteReference w:id="5"/>
      </w:r>
      <w:r w:rsidRPr="00C2765B">
        <w:rPr>
          <w:rFonts w:ascii="Verdana" w:eastAsia="Calibri" w:hAnsi="Verdana" w:cs="Arial"/>
          <w:lang w:val="es-ES" w:eastAsia="es-ES"/>
        </w:rPr>
        <w:t xml:space="preserve"> que “el concepto del A.I.U. comprende la Administración (costos indirectos) imprevistos y utilidades, y en algunos contratos este valor aparece cuantificado en forma independiente al valor de la obra y como un porcentaje de la misma</w:t>
      </w:r>
      <w:r w:rsidRPr="00C2765B">
        <w:rPr>
          <w:rFonts w:ascii="Verdana" w:eastAsia="Calibri" w:hAnsi="Verdana" w:cs="Times New Roman"/>
          <w:vertAlign w:val="superscript"/>
          <w:lang w:val="es-ES" w:eastAsia="es-ES"/>
        </w:rPr>
        <w:footnoteReference w:id="6"/>
      </w:r>
      <w:r w:rsidRPr="00C2765B">
        <w:rPr>
          <w:rFonts w:ascii="Verdana" w:eastAsia="Calibri" w:hAnsi="Verdana" w:cs="Arial"/>
          <w:lang w:val="es-ES" w:eastAsia="es-ES"/>
        </w:rPr>
        <w:t>, sin perjuicio que en otros contratos este valor no aparezca discriminado y se incorpore en el valor de los precios unitarios”</w:t>
      </w:r>
      <w:r w:rsidRPr="00C2765B">
        <w:rPr>
          <w:rFonts w:ascii="Verdana" w:eastAsia="Calibri" w:hAnsi="Verdana" w:cs="Times New Roman"/>
          <w:vertAlign w:val="superscript"/>
          <w:lang w:val="es-ES" w:eastAsia="es-ES"/>
        </w:rPr>
        <w:footnoteReference w:id="7"/>
      </w:r>
      <w:r w:rsidRPr="00C2765B">
        <w:rPr>
          <w:rFonts w:ascii="Verdana" w:eastAsia="Calibri" w:hAnsi="Verdana" w:cs="Arial"/>
          <w:lang w:val="es-ES" w:eastAsia="es-ES"/>
        </w:rPr>
        <w:t xml:space="preserve">. </w:t>
      </w:r>
    </w:p>
    <w:p w14:paraId="42C5220D" w14:textId="77777777" w:rsidR="00F962A1" w:rsidRPr="00C2765B" w:rsidRDefault="00F962A1" w:rsidP="00F962A1">
      <w:pPr>
        <w:adjustRightInd w:val="0"/>
        <w:snapToGrid w:val="0"/>
        <w:spacing w:after="0" w:line="276" w:lineRule="auto"/>
        <w:ind w:left="714" w:hanging="357"/>
        <w:jc w:val="both"/>
        <w:rPr>
          <w:rFonts w:ascii="Verdana" w:eastAsia="Calibri" w:hAnsi="Verdana" w:cs="Arial"/>
          <w:lang w:val="es-ES" w:eastAsia="es-ES"/>
        </w:rPr>
      </w:pPr>
    </w:p>
    <w:p w14:paraId="1FB8175B"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bCs/>
          <w:szCs w:val="24"/>
          <w:lang w:val="es-ES_tradnl" w:eastAsia="es-ES_tradnl"/>
        </w:rPr>
        <w:t xml:space="preserve">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w:t>
      </w:r>
      <w:r w:rsidRPr="00C2765B">
        <w:rPr>
          <w:rFonts w:ascii="Verdana" w:eastAsia="Calibri" w:hAnsi="Verdana" w:cs="Arial"/>
          <w:bCs/>
          <w:szCs w:val="24"/>
          <w:lang w:val="es-ES_tradnl" w:eastAsia="es-ES_tradnl"/>
        </w:rPr>
        <w:lastRenderedPageBreak/>
        <w:t>costumbre, […]”</w:t>
      </w:r>
      <w:r w:rsidRPr="00C2765B">
        <w:rPr>
          <w:rFonts w:ascii="Verdana" w:eastAsia="Calibri" w:hAnsi="Verdana" w:cs="Times New Roman"/>
          <w:vertAlign w:val="superscript"/>
          <w:lang w:val="es-ES" w:eastAsia="es-ES_tradnl"/>
        </w:rPr>
        <w:footnoteReference w:id="8"/>
      </w:r>
      <w:r w:rsidRPr="00C2765B">
        <w:rPr>
          <w:rFonts w:ascii="Verdana" w:eastAsia="Calibri" w:hAnsi="Verdana" w:cs="Arial"/>
          <w:bCs/>
          <w:szCs w:val="24"/>
          <w:lang w:val="es-ES_tradnl" w:eastAsia="es-ES_tradnl"/>
        </w:rPr>
        <w:t xml:space="preserve">. De otro lado, quien define el valor de cada </w:t>
      </w:r>
      <w:r w:rsidRPr="00C2765B">
        <w:rPr>
          <w:rFonts w:ascii="Verdana" w:eastAsia="Calibri" w:hAnsi="Verdana" w:cs="Arial"/>
          <w:bCs/>
          <w:i/>
          <w:iCs/>
          <w:szCs w:val="24"/>
          <w:lang w:val="es-ES_tradnl" w:eastAsia="es-ES_tradnl"/>
        </w:rPr>
        <w:t>letra</w:t>
      </w:r>
      <w:r w:rsidRPr="00C2765B">
        <w:rPr>
          <w:rFonts w:ascii="Verdana" w:eastAsia="Calibri" w:hAnsi="Verdana" w:cs="Arial"/>
          <w:bCs/>
          <w:szCs w:val="24"/>
          <w:lang w:val="es-ES_tradnl" w:eastAsia="es-ES_tradnl"/>
        </w:rPr>
        <w:t xml:space="preserve"> –AIU– es el proponente, pues goza de libertad empresarial para hacerlo en la elaboración de su oferta</w:t>
      </w:r>
      <w:r w:rsidRPr="00C2765B">
        <w:rPr>
          <w:rFonts w:ascii="Verdana" w:eastAsia="Calibri" w:hAnsi="Verdana" w:cs="Times New Roman"/>
          <w:vertAlign w:val="superscript"/>
          <w:lang w:val="es-ES" w:eastAsia="es-ES_tradnl"/>
        </w:rPr>
        <w:footnoteReference w:id="9"/>
      </w:r>
      <w:r w:rsidRPr="00C2765B">
        <w:rPr>
          <w:rFonts w:ascii="Verdana" w:eastAsia="Calibri" w:hAnsi="Verdana" w:cs="Arial"/>
          <w:bCs/>
          <w:szCs w:val="24"/>
          <w:lang w:val="es-ES_tradnl" w:eastAsia="es-ES_tradnl"/>
        </w:rPr>
        <w:t>.</w:t>
      </w:r>
    </w:p>
    <w:p w14:paraId="7464AE3C" w14:textId="77777777" w:rsidR="00F962A1" w:rsidRPr="00C2765B" w:rsidRDefault="00F962A1" w:rsidP="00F962A1">
      <w:pPr>
        <w:adjustRightInd w:val="0"/>
        <w:snapToGrid w:val="0"/>
        <w:spacing w:after="0" w:line="276" w:lineRule="auto"/>
        <w:ind w:left="714" w:hanging="357"/>
        <w:rPr>
          <w:rFonts w:ascii="Verdana" w:eastAsia="Calibri" w:hAnsi="Verdana" w:cs="Arial"/>
          <w:lang w:val="es-ES" w:eastAsia="es-ES"/>
        </w:rPr>
      </w:pPr>
    </w:p>
    <w:p w14:paraId="557D2C21"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 xml:space="preserve">De esta manera,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EGCAP. </w:t>
      </w:r>
      <w:r w:rsidRPr="00C2765B">
        <w:rPr>
          <w:rFonts w:ascii="Verdana" w:eastAsia="Calibri" w:hAnsi="Verdana" w:cs="Arial"/>
          <w:bCs/>
          <w:szCs w:val="24"/>
          <w:lang w:val="es-ES_tradnl" w:eastAsia="es-ES_tradnl"/>
        </w:rPr>
        <w:t xml:space="preserve">Ahora bien, nada obstaría para que las partes le dieran otros efectos particulares a la forma en que pagan el precio estructurado con AIU. Por ejemplo, podrían incluir cláusulas o reglas bajo las cuales se estableciera que el valor de alguno o de todos los componentes de la </w:t>
      </w:r>
      <w:r w:rsidRPr="00C2765B">
        <w:rPr>
          <w:rFonts w:ascii="Verdana" w:eastAsia="Calibri" w:hAnsi="Verdana" w:cs="Arial"/>
          <w:bCs/>
          <w:i/>
          <w:iCs/>
          <w:szCs w:val="24"/>
          <w:lang w:val="es-ES_tradnl" w:eastAsia="es-ES_tradnl"/>
        </w:rPr>
        <w:t>Administración</w:t>
      </w:r>
      <w:r w:rsidRPr="00C2765B">
        <w:rPr>
          <w:rFonts w:ascii="Verdana" w:eastAsia="Calibri" w:hAnsi="Verdana" w:cs="Arial"/>
          <w:bCs/>
          <w:szCs w:val="24"/>
          <w:lang w:val="es-ES_tradnl" w:eastAsia="es-ES_tradnl"/>
        </w:rPr>
        <w:t xml:space="preserve"> o los </w:t>
      </w:r>
      <w:r w:rsidRPr="00C2765B">
        <w:rPr>
          <w:rFonts w:ascii="Verdana" w:eastAsia="Calibri" w:hAnsi="Verdana" w:cs="Arial"/>
          <w:bCs/>
          <w:i/>
          <w:iCs/>
          <w:szCs w:val="24"/>
          <w:lang w:val="es-ES_tradnl" w:eastAsia="es-ES_tradnl"/>
        </w:rPr>
        <w:t>Imprevistos</w:t>
      </w:r>
      <w:r w:rsidRPr="00C2765B">
        <w:rPr>
          <w:rFonts w:ascii="Verdana" w:eastAsia="Calibri" w:hAnsi="Verdana" w:cs="Arial"/>
          <w:bCs/>
          <w:szCs w:val="24"/>
          <w:lang w:val="es-ES_tradnl" w:eastAsia="es-ES_tradnl"/>
        </w:rPr>
        <w:t xml:space="preserve"> solo se pagan si el contratista demuestra que incurrió en algunas situaciones específicas y bajo el monto que este logre demostrar. </w:t>
      </w:r>
    </w:p>
    <w:p w14:paraId="3E12E367" w14:textId="77777777" w:rsidR="00F962A1" w:rsidRPr="00C2765B" w:rsidRDefault="00F962A1" w:rsidP="00F962A1">
      <w:pPr>
        <w:adjustRightInd w:val="0"/>
        <w:snapToGrid w:val="0"/>
        <w:spacing w:after="0" w:line="276" w:lineRule="auto"/>
        <w:ind w:left="714" w:hanging="357"/>
        <w:rPr>
          <w:rFonts w:ascii="Verdana" w:eastAsia="Calibri" w:hAnsi="Verdana" w:cs="Arial"/>
          <w:lang w:val="es-ES" w:eastAsia="es-ES"/>
        </w:rPr>
      </w:pPr>
    </w:p>
    <w:p w14:paraId="75AAB218"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 xml:space="preserve">Sin embargo, una regulación como la anterior no es la que suele emplearse en los contratos estatales. 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al valor de los costos directos se le sume el AIU. Así las cosas, las partes asumen los riesgos inherentes a esta forma de pactar el precio, entendiendo aceptados los aleas normales que se presenten en la ejecución del contrato, de manera que, aunque el contratista incurra en mayores costos de los ítems incluidos en la </w:t>
      </w:r>
      <w:r w:rsidRPr="00C2765B">
        <w:rPr>
          <w:rFonts w:ascii="Verdana" w:eastAsia="Calibri" w:hAnsi="Verdana" w:cs="Arial"/>
          <w:i/>
          <w:iCs/>
          <w:lang w:val="es-ES" w:eastAsia="es-ES"/>
        </w:rPr>
        <w:t>Administración</w:t>
      </w:r>
      <w:r w:rsidRPr="00C2765B">
        <w:rPr>
          <w:rFonts w:ascii="Verdana" w:eastAsia="Calibri" w:hAnsi="Verdana" w:cs="Arial"/>
          <w:lang w:val="es-ES" w:eastAsia="es-ES"/>
        </w:rPr>
        <w:t xml:space="preserve"> o en más gastos de </w:t>
      </w:r>
      <w:r w:rsidRPr="00C2765B">
        <w:rPr>
          <w:rFonts w:ascii="Verdana" w:eastAsia="Calibri" w:hAnsi="Verdana" w:cs="Arial"/>
          <w:i/>
          <w:iCs/>
          <w:lang w:val="es-ES" w:eastAsia="es-ES"/>
        </w:rPr>
        <w:t>Imprevistos</w:t>
      </w:r>
      <w:r w:rsidRPr="00C2765B">
        <w:rPr>
          <w:rFonts w:ascii="Verdana" w:eastAsia="Calibri" w:hAnsi="Verdana" w:cs="Arial"/>
          <w:lang w:val="es-ES" w:eastAsia="es-ES"/>
        </w:rPr>
        <w:t xml:space="preserve"> al presentar su oferta, o que estos disminuyan, aparezcan algunos nuevos o desaparezcan algunos de ellos, el valor se mantenga invariable. De este modo, las partes optan por darle estabilidad al negocio, asumiendo cada una de ellas lo que le favorezca o desfavorezca, lo que evita, además, incurrir en costos de transacción relacionados con la necesidad de acreditar y verificar cada costo o gasto específico asociado a la </w:t>
      </w:r>
      <w:r w:rsidRPr="00C2765B">
        <w:rPr>
          <w:rFonts w:ascii="Verdana" w:eastAsia="Calibri" w:hAnsi="Verdana" w:cs="Arial"/>
          <w:i/>
          <w:iCs/>
          <w:lang w:val="es-ES" w:eastAsia="es-ES"/>
        </w:rPr>
        <w:lastRenderedPageBreak/>
        <w:t xml:space="preserve">Administración </w:t>
      </w:r>
      <w:r w:rsidRPr="00C2765B">
        <w:rPr>
          <w:rFonts w:ascii="Verdana" w:eastAsia="Calibri" w:hAnsi="Verdana" w:cs="Arial"/>
          <w:lang w:val="es-ES" w:eastAsia="es-ES"/>
        </w:rPr>
        <w:t>o lo</w:t>
      </w:r>
      <w:r w:rsidRPr="00C2765B">
        <w:rPr>
          <w:rFonts w:ascii="Verdana" w:eastAsia="Calibri" w:hAnsi="Verdana" w:cs="Arial"/>
          <w:i/>
          <w:iCs/>
          <w:lang w:val="es-ES" w:eastAsia="es-ES"/>
        </w:rPr>
        <w:t>s Imprevistos</w:t>
      </w:r>
      <w:r w:rsidRPr="00C2765B">
        <w:rPr>
          <w:rFonts w:ascii="Verdana" w:eastAsia="Calibri" w:hAnsi="Verdana" w:cs="Arial"/>
          <w:lang w:val="es-ES" w:eastAsia="es-ES"/>
        </w:rPr>
        <w:t>, lo que generaría más gastos tanto para la entidad como para el contratista.</w:t>
      </w:r>
    </w:p>
    <w:p w14:paraId="307F2E18" w14:textId="77777777" w:rsidR="00F962A1" w:rsidRPr="00C2765B" w:rsidRDefault="00F962A1" w:rsidP="00F962A1">
      <w:pPr>
        <w:adjustRightInd w:val="0"/>
        <w:snapToGrid w:val="0"/>
        <w:spacing w:after="0" w:line="276" w:lineRule="auto"/>
        <w:ind w:left="714" w:hanging="357"/>
        <w:jc w:val="both"/>
        <w:rPr>
          <w:rFonts w:ascii="Verdana" w:eastAsia="Calibri" w:hAnsi="Verdana" w:cs="Arial"/>
          <w:lang w:val="es-ES" w:eastAsia="es-ES"/>
        </w:rPr>
      </w:pPr>
    </w:p>
    <w:p w14:paraId="1A180D70"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bCs/>
          <w:szCs w:val="24"/>
          <w:lang w:val="es-ES_tradnl" w:eastAsia="es-ES_tradnl"/>
        </w:rPr>
        <w:t xml:space="preserve">En este sentido, cuando las Entidades Estatales incluyen esta forma de desglosar el precio, en los últimos términos indicados, al realizar el estudio de mercado elaboran un presupuesto estimado del valor de la ejecución del contrato. Dicho presupuesto estimado incluye los costos genéricos </w:t>
      </w:r>
      <w:r w:rsidRPr="00C2765B">
        <w:rPr>
          <w:rFonts w:ascii="Verdana" w:eastAsia="Calibri" w:hAnsi="Verdana" w:cs="Arial"/>
          <w:bCs/>
          <w:i/>
          <w:iCs/>
          <w:szCs w:val="24"/>
          <w:lang w:val="es-ES_tradnl" w:eastAsia="es-ES_tradnl"/>
        </w:rPr>
        <w:t xml:space="preserve">indirectos </w:t>
      </w:r>
      <w:r w:rsidRPr="00C2765B">
        <w:rPr>
          <w:rFonts w:ascii="Verdana" w:eastAsia="Calibri" w:hAnsi="Verdana" w:cs="Arial"/>
          <w:bCs/>
          <w:szCs w:val="24"/>
          <w:lang w:val="es-ES_tradnl" w:eastAsia="es-ES_tradnl"/>
        </w:rPr>
        <w:t xml:space="preserve">en que incurren los contratistas, entre ellos, los de la </w:t>
      </w:r>
      <w:r w:rsidRPr="00C2765B">
        <w:rPr>
          <w:rFonts w:ascii="Verdana" w:eastAsia="Calibri" w:hAnsi="Verdana" w:cs="Arial"/>
          <w:bCs/>
          <w:i/>
          <w:iCs/>
          <w:szCs w:val="24"/>
          <w:lang w:val="es-ES_tradnl" w:eastAsia="es-ES_tradnl"/>
        </w:rPr>
        <w:t xml:space="preserve">Administración </w:t>
      </w:r>
      <w:r w:rsidRPr="00C2765B">
        <w:rPr>
          <w:rFonts w:ascii="Verdana" w:eastAsia="Calibri" w:hAnsi="Verdana" w:cs="Arial"/>
          <w:lang w:val="es-ES_tradnl" w:eastAsia="es-ES"/>
        </w:rPr>
        <w:t>y</w:t>
      </w:r>
      <w:r w:rsidRPr="00C2765B">
        <w:rPr>
          <w:rFonts w:ascii="Verdana" w:eastAsia="Calibri" w:hAnsi="Verdana" w:cs="Arial"/>
          <w:lang w:val="es-ES" w:eastAsia="es-ES"/>
        </w:rPr>
        <w:t xml:space="preserve"> lo</w:t>
      </w:r>
      <w:r w:rsidRPr="00C2765B">
        <w:rPr>
          <w:rFonts w:ascii="Verdana" w:eastAsia="Calibri" w:hAnsi="Verdana" w:cs="Arial"/>
          <w:i/>
          <w:iCs/>
          <w:lang w:val="es-ES" w:eastAsia="es-ES"/>
        </w:rPr>
        <w:t>s Imprevistos</w:t>
      </w:r>
      <w:r w:rsidRPr="00C2765B">
        <w:rPr>
          <w:rFonts w:ascii="Verdana" w:eastAsia="Calibri" w:hAnsi="Verdana" w:cs="Arial"/>
          <w:bCs/>
          <w:szCs w:val="24"/>
          <w:lang w:val="es-ES_tradnl" w:eastAsia="es-ES_tradnl"/>
        </w:rPr>
        <w:t>, para efectos de definir el porcentaje con el que calculan el presupuesto, pese a que el monto de estos componentes varía ostensiblemente de un proponente a otro, pues su valor real depende de circunstancias particulares de los oferentes</w:t>
      </w:r>
      <w:r w:rsidRPr="00C2765B">
        <w:rPr>
          <w:rFonts w:ascii="Verdana" w:eastAsia="Calibri" w:hAnsi="Verdana" w:cs="Times New Roman"/>
          <w:vertAlign w:val="superscript"/>
          <w:lang w:val="es-ES" w:eastAsia="es-ES_tradnl"/>
        </w:rPr>
        <w:footnoteReference w:id="10"/>
      </w:r>
      <w:r w:rsidRPr="00C2765B">
        <w:rPr>
          <w:rFonts w:ascii="Verdana" w:eastAsia="Calibri" w:hAnsi="Verdana" w:cs="Arial"/>
          <w:bCs/>
          <w:szCs w:val="24"/>
          <w:lang w:val="es-ES_tradnl" w:eastAsia="es-ES_tradnl"/>
        </w:rPr>
        <w:t xml:space="preserve">. </w:t>
      </w:r>
    </w:p>
    <w:p w14:paraId="27C83670" w14:textId="77777777" w:rsidR="00F962A1" w:rsidRPr="00C2765B" w:rsidRDefault="00F962A1" w:rsidP="00F962A1">
      <w:pPr>
        <w:adjustRightInd w:val="0"/>
        <w:snapToGrid w:val="0"/>
        <w:spacing w:after="0" w:line="276" w:lineRule="auto"/>
        <w:ind w:left="714" w:hanging="357"/>
        <w:rPr>
          <w:rFonts w:ascii="Verdana" w:eastAsia="Calibri" w:hAnsi="Verdana" w:cs="Arial"/>
          <w:lang w:val="es-ES" w:eastAsia="es-ES"/>
        </w:rPr>
      </w:pPr>
    </w:p>
    <w:p w14:paraId="46DD3BBB"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 xml:space="preserve">De manera que las entidades calculan un valor estimado que, a su vez, sirve de guía para que los proponentes formulen sus ofertas, pero bajo la premisa de que pagarán un porcentaje fijo incluido por los interesados en sus propuestas, dado lo variable que resulta este valor, y lo complejo y gravoso de realizar un seguimiento minucioso a los costos en que incurren los contratistas por este componente en particular. Además, que estos podrían ser mayores a los inicialmente pactados con el contratista, de manera que la fijación de un porcentaje fijo y estable también puede resultar favorable a la entidad estatal, pues su contraparte no le podrá exigir un monto superior, bajo el argumento de que incurrió en costos o gastos adicionales asociados al componente </w:t>
      </w:r>
      <w:r w:rsidRPr="00C2765B">
        <w:rPr>
          <w:rFonts w:ascii="Verdana" w:eastAsia="Calibri" w:hAnsi="Verdana" w:cs="Arial"/>
          <w:i/>
          <w:iCs/>
          <w:lang w:val="es-ES" w:eastAsia="es-ES"/>
        </w:rPr>
        <w:t>Administración</w:t>
      </w:r>
      <w:r w:rsidRPr="00C2765B">
        <w:rPr>
          <w:rFonts w:ascii="Verdana" w:eastAsia="Calibri" w:hAnsi="Verdana" w:cs="Arial"/>
          <w:lang w:val="es-ES" w:eastAsia="es-ES"/>
        </w:rPr>
        <w:t xml:space="preserve"> o de </w:t>
      </w:r>
      <w:r w:rsidRPr="00C2765B">
        <w:rPr>
          <w:rFonts w:ascii="Verdana" w:eastAsia="Calibri" w:hAnsi="Verdana" w:cs="Arial"/>
          <w:i/>
          <w:iCs/>
          <w:lang w:val="es-ES" w:eastAsia="es-ES"/>
        </w:rPr>
        <w:t>Imprevistos</w:t>
      </w:r>
      <w:r w:rsidRPr="00C2765B">
        <w:rPr>
          <w:rFonts w:ascii="Verdana" w:eastAsia="Calibri" w:hAnsi="Verdana" w:cs="Times New Roman"/>
          <w:vertAlign w:val="superscript"/>
          <w:lang w:val="es-ES" w:eastAsia="es-ES"/>
        </w:rPr>
        <w:footnoteReference w:id="11"/>
      </w:r>
      <w:r w:rsidRPr="00C2765B">
        <w:rPr>
          <w:rFonts w:ascii="Verdana" w:eastAsia="Calibri" w:hAnsi="Verdana" w:cs="Arial"/>
          <w:lang w:val="es-ES" w:eastAsia="es-ES"/>
        </w:rPr>
        <w:t>.</w:t>
      </w:r>
    </w:p>
    <w:p w14:paraId="304954FE" w14:textId="77777777" w:rsidR="00F962A1" w:rsidRPr="00C2765B" w:rsidRDefault="00F962A1" w:rsidP="00F962A1">
      <w:pPr>
        <w:adjustRightInd w:val="0"/>
        <w:snapToGrid w:val="0"/>
        <w:spacing w:after="0" w:line="276" w:lineRule="auto"/>
        <w:ind w:left="714" w:hanging="357"/>
        <w:rPr>
          <w:rFonts w:ascii="Verdana" w:eastAsia="Calibri" w:hAnsi="Verdana" w:cs="Arial"/>
          <w:lang w:val="es-ES" w:eastAsia="es-ES"/>
        </w:rPr>
      </w:pPr>
    </w:p>
    <w:p w14:paraId="084E68DF"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lastRenderedPageBreak/>
        <w:t>Así las cosas, las entidades cuentan con discrecionalidad para establecer en el pliego de condiciones o en su documento equivalente, así como en el contrato, el sistema de precios unitarios y la figura del AIU. De este modo, teniendo en cuenta el concepto de AIU, la forma de calcularlo no es un aspecto que cuente con una regulación normativa en materia contractual del Estado, por lo que la determinación de los componentes del AIU dependerá del análisis particular que realice la entidad en relación con el presupuesto estimado del valor de la ejecución del contrato que, a su vez, sirve de guía para que los proponentes formulen sus ofertas.</w:t>
      </w:r>
    </w:p>
    <w:p w14:paraId="4319E943" w14:textId="77777777" w:rsidR="00F962A1" w:rsidRPr="00C2765B" w:rsidRDefault="00F962A1" w:rsidP="00F962A1">
      <w:pPr>
        <w:adjustRightInd w:val="0"/>
        <w:snapToGrid w:val="0"/>
        <w:spacing w:after="0" w:line="276" w:lineRule="auto"/>
        <w:ind w:left="714" w:hanging="357"/>
        <w:rPr>
          <w:rFonts w:ascii="Verdana" w:eastAsia="Calibri" w:hAnsi="Verdana" w:cs="Arial"/>
          <w:lang w:val="es-ES" w:eastAsia="es-ES"/>
        </w:rPr>
      </w:pPr>
    </w:p>
    <w:p w14:paraId="5416764C"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14:paraId="7CC51BF8" w14:textId="77777777" w:rsidR="00F962A1" w:rsidRPr="00C2765B" w:rsidRDefault="00F962A1" w:rsidP="00F962A1">
      <w:pPr>
        <w:adjustRightInd w:val="0"/>
        <w:snapToGrid w:val="0"/>
        <w:spacing w:after="0" w:line="276" w:lineRule="auto"/>
        <w:jc w:val="both"/>
        <w:rPr>
          <w:rFonts w:ascii="Verdana" w:eastAsia="Calibri" w:hAnsi="Verdana" w:cs="Arial"/>
          <w:lang w:val="es-ES" w:eastAsia="es-ES"/>
        </w:rPr>
      </w:pPr>
    </w:p>
    <w:p w14:paraId="30CEFB8C" w14:textId="77777777" w:rsidR="00F962A1" w:rsidRPr="00C2765B" w:rsidRDefault="00F962A1" w:rsidP="00F962A1">
      <w:pPr>
        <w:numPr>
          <w:ilvl w:val="0"/>
          <w:numId w:val="27"/>
        </w:numPr>
        <w:spacing w:after="0" w:line="276" w:lineRule="auto"/>
        <w:contextualSpacing/>
        <w:jc w:val="both"/>
        <w:rPr>
          <w:rFonts w:ascii="Verdana" w:eastAsia="Calibri" w:hAnsi="Verdana" w:cs="Arial"/>
          <w:color w:val="000000"/>
        </w:rPr>
      </w:pPr>
      <w:r w:rsidRPr="00C2765B">
        <w:rPr>
          <w:rFonts w:ascii="Verdana" w:eastAsia="Calibri" w:hAnsi="Verdana" w:cs="Arial"/>
          <w:color w:val="000000"/>
        </w:rPr>
        <w:t>Los Documentos Tipo de licitación de obra pública de infraestructura de transporte –versión 3–, establecen las reglas aplicables al AIU en el “Anexo 3 – Glosario”, “Documento Base o Pliego Tipo” y “Formulario 1– Formulario de Presupuesto Oficial”.</w:t>
      </w:r>
    </w:p>
    <w:p w14:paraId="0F94E67B" w14:textId="77777777" w:rsidR="00F962A1" w:rsidRPr="00C2765B" w:rsidRDefault="00F962A1" w:rsidP="00F962A1">
      <w:pPr>
        <w:spacing w:after="0" w:line="276" w:lineRule="auto"/>
        <w:ind w:left="720"/>
        <w:contextualSpacing/>
        <w:jc w:val="both"/>
        <w:rPr>
          <w:rFonts w:ascii="Verdana" w:eastAsia="Calibri" w:hAnsi="Verdana" w:cs="Arial"/>
          <w:color w:val="000000"/>
        </w:rPr>
      </w:pPr>
    </w:p>
    <w:p w14:paraId="5E5AAE22" w14:textId="77777777" w:rsidR="00F962A1" w:rsidRPr="00C2765B" w:rsidRDefault="00F962A1" w:rsidP="00F962A1">
      <w:pPr>
        <w:numPr>
          <w:ilvl w:val="0"/>
          <w:numId w:val="27"/>
        </w:numPr>
        <w:spacing w:after="0" w:line="276" w:lineRule="auto"/>
        <w:contextualSpacing/>
        <w:jc w:val="both"/>
        <w:rPr>
          <w:rFonts w:ascii="Verdana" w:eastAsia="Calibri" w:hAnsi="Verdana" w:cs="Arial"/>
          <w:color w:val="000000"/>
        </w:rPr>
      </w:pPr>
      <w:r w:rsidRPr="00C2765B">
        <w:rPr>
          <w:rFonts w:ascii="Verdana" w:eastAsia="Calibri" w:hAnsi="Verdana" w:cs="Arial"/>
          <w:color w:val="000000"/>
        </w:rPr>
        <w:t>El numeral 1.40 del “Anexo 3 – Glosario” define el “Porcentaje de AIU” en los siguientes términos:</w:t>
      </w:r>
      <w:r w:rsidRPr="00C2765B">
        <w:rPr>
          <w:rFonts w:ascii="Verdana" w:eastAsia="Calibri" w:hAnsi="Verdana" w:cs="Arial"/>
          <w:color w:val="000000"/>
        </w:rPr>
        <w:tab/>
      </w:r>
    </w:p>
    <w:p w14:paraId="57D74A0F" w14:textId="77777777" w:rsidR="00F962A1" w:rsidRPr="00C2765B" w:rsidRDefault="00F962A1" w:rsidP="00F962A1">
      <w:pPr>
        <w:spacing w:after="0" w:line="276" w:lineRule="auto"/>
        <w:jc w:val="both"/>
        <w:rPr>
          <w:rFonts w:ascii="Verdana" w:eastAsia="Calibri" w:hAnsi="Verdana" w:cs="Arial"/>
          <w:color w:val="000000"/>
          <w:lang w:val="es-ES"/>
        </w:rPr>
      </w:pPr>
    </w:p>
    <w:p w14:paraId="7940F704" w14:textId="77777777" w:rsidR="00F962A1" w:rsidRPr="00C2765B" w:rsidRDefault="00F962A1" w:rsidP="00F962A1">
      <w:pPr>
        <w:spacing w:after="0" w:line="240" w:lineRule="auto"/>
        <w:ind w:left="709" w:right="709"/>
        <w:jc w:val="both"/>
        <w:rPr>
          <w:rFonts w:ascii="Verdana" w:eastAsia="Calibri" w:hAnsi="Verdana" w:cs="Arial"/>
          <w:color w:val="000000"/>
          <w:sz w:val="21"/>
          <w:szCs w:val="21"/>
        </w:rPr>
      </w:pPr>
      <w:r w:rsidRPr="00C2765B">
        <w:rPr>
          <w:rFonts w:ascii="Verdana" w:eastAsia="Calibri" w:hAnsi="Verdana" w:cs="Arial"/>
          <w:b/>
          <w:bCs/>
          <w:color w:val="000000"/>
          <w:sz w:val="21"/>
          <w:szCs w:val="21"/>
        </w:rPr>
        <w:lastRenderedPageBreak/>
        <w:t>“1.40 Porcentaje de AIU</w:t>
      </w:r>
      <w:r w:rsidRPr="00C2765B">
        <w:rPr>
          <w:rFonts w:ascii="Verdana" w:eastAsia="Calibri" w:hAnsi="Verdana" w:cs="Arial"/>
          <w:color w:val="000000"/>
          <w:sz w:val="21"/>
          <w:szCs w:val="21"/>
        </w:rPr>
        <w:t>: Porcentaje de los costos directos destinados a cubrir: los gastos de administración (A), que comprende los gastos de dirección de obra, gastos administrativos de oficina, etc.; los imprevistos (I), que corresponde a un porcentaje destinado a cubrir los gastos que surjan y que no fueron previstos, y las utilidades (U) que corresponde a la remuneración propiamente dicha del Contratista por su trabajo.”</w:t>
      </w:r>
    </w:p>
    <w:p w14:paraId="4C513EED" w14:textId="77777777" w:rsidR="00F962A1" w:rsidRPr="00C2765B" w:rsidRDefault="00F962A1" w:rsidP="00F962A1">
      <w:pPr>
        <w:spacing w:after="0" w:line="276" w:lineRule="auto"/>
        <w:ind w:left="709" w:right="709"/>
        <w:jc w:val="both"/>
        <w:rPr>
          <w:rFonts w:ascii="Verdana" w:eastAsia="Calibri" w:hAnsi="Verdana" w:cs="Arial"/>
          <w:color w:val="000000"/>
          <w:sz w:val="21"/>
          <w:szCs w:val="21"/>
        </w:rPr>
      </w:pPr>
    </w:p>
    <w:p w14:paraId="63E7E848" w14:textId="77777777" w:rsidR="00F962A1" w:rsidRPr="00C2765B" w:rsidRDefault="00F962A1" w:rsidP="00F962A1">
      <w:pPr>
        <w:numPr>
          <w:ilvl w:val="0"/>
          <w:numId w:val="28"/>
        </w:numPr>
        <w:spacing w:after="0" w:line="276" w:lineRule="auto"/>
        <w:contextualSpacing/>
        <w:jc w:val="both"/>
        <w:rPr>
          <w:rFonts w:ascii="Verdana" w:eastAsia="Calibri" w:hAnsi="Verdana" w:cs="Arial"/>
          <w:color w:val="000000"/>
          <w:lang w:val="es-ES"/>
        </w:rPr>
      </w:pPr>
      <w:r w:rsidRPr="00C2765B">
        <w:rPr>
          <w:rFonts w:ascii="Verdana" w:eastAsia="Calibri" w:hAnsi="Verdana" w:cs="Arial"/>
          <w:color w:val="000000"/>
          <w:lang w:val="es-ES"/>
        </w:rPr>
        <w:t>A su turno, el numeral 4.1.1 del “Documento Base o Pliego Tipo” establece la forma como el proponente debe calcular el AIU, así:</w:t>
      </w:r>
      <w:r w:rsidRPr="00C2765B">
        <w:rPr>
          <w:rFonts w:ascii="Verdana" w:eastAsia="Calibri" w:hAnsi="Verdana" w:cs="Arial"/>
          <w:color w:val="000000"/>
          <w:lang w:val="es-ES"/>
        </w:rPr>
        <w:cr/>
      </w:r>
    </w:p>
    <w:p w14:paraId="52C6F85C" w14:textId="77777777" w:rsidR="00F962A1" w:rsidRPr="00C2765B" w:rsidRDefault="00F962A1" w:rsidP="00F962A1">
      <w:pPr>
        <w:adjustRightInd w:val="0"/>
        <w:spacing w:after="0" w:line="240" w:lineRule="auto"/>
        <w:ind w:left="709" w:right="709"/>
        <w:jc w:val="both"/>
        <w:rPr>
          <w:rFonts w:ascii="Verdana" w:eastAsia="Calibri" w:hAnsi="Verdana" w:cs="Arial"/>
          <w:color w:val="000000"/>
          <w:sz w:val="21"/>
          <w:szCs w:val="21"/>
        </w:rPr>
      </w:pPr>
      <w:r w:rsidRPr="00C2765B">
        <w:rPr>
          <w:rFonts w:ascii="Verdana" w:eastAsia="Calibri" w:hAnsi="Verdana" w:cs="Arial"/>
          <w:b/>
          <w:bCs/>
          <w:color w:val="000000"/>
          <w:sz w:val="21"/>
          <w:szCs w:val="21"/>
        </w:rPr>
        <w:t>“4.1.1. AIU</w:t>
      </w:r>
      <w:r w:rsidRPr="00C2765B">
        <w:rPr>
          <w:rFonts w:ascii="Verdana" w:eastAsia="Calibri" w:hAnsi="Verdana" w:cs="Arial"/>
          <w:color w:val="000000"/>
          <w:sz w:val="21"/>
          <w:szCs w:val="21"/>
        </w:rPr>
        <w:t xml:space="preserve"> </w:t>
      </w:r>
    </w:p>
    <w:p w14:paraId="3632B1F9" w14:textId="77777777" w:rsidR="00F962A1" w:rsidRPr="00C2765B" w:rsidRDefault="00F962A1" w:rsidP="00F962A1">
      <w:pPr>
        <w:adjustRightInd w:val="0"/>
        <w:spacing w:after="0" w:line="240" w:lineRule="auto"/>
        <w:ind w:left="709" w:right="709"/>
        <w:jc w:val="both"/>
        <w:rPr>
          <w:rFonts w:ascii="Verdana" w:eastAsia="Calibri" w:hAnsi="Verdana" w:cs="Arial"/>
          <w:color w:val="000000"/>
          <w:sz w:val="21"/>
          <w:szCs w:val="21"/>
        </w:rPr>
      </w:pPr>
    </w:p>
    <w:p w14:paraId="51E25B0C"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highlight w:val="lightGray"/>
          <w:lang w:val="es-MX"/>
          <w14:ligatures w14:val="standardContextual"/>
        </w:rPr>
        <w:t>[Esta sección se debe incluir en el evento en el que el proceso de contratación sea por precios unitarios]</w:t>
      </w:r>
    </w:p>
    <w:p w14:paraId="73CBC109"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p>
    <w:p w14:paraId="6AB962C3"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El proponente debe calcular un AIU que contenga todos los costos en los que incurre la organización del constructor para poder desarrollar la administración, los imprevistos y la utilidad o beneficio económico que pretende percibir por la ejecución del contrato.</w:t>
      </w:r>
    </w:p>
    <w:p w14:paraId="650ED3A4"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p>
    <w:p w14:paraId="04DA1DA3"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 xml:space="preserve">El valor del AIU debe expresarse en un porcentaje (%) y debe consignarlo y discriminarlo en la propuesta económica. </w:t>
      </w:r>
      <w:r w:rsidRPr="00C2765B">
        <w:rPr>
          <w:rFonts w:ascii="Verdana" w:eastAsia="Aptos" w:hAnsi="Verdana" w:cs="Times New Roman"/>
          <w:kern w:val="2"/>
          <w:sz w:val="21"/>
          <w:szCs w:val="21"/>
          <w:highlight w:val="lightGray"/>
          <w:lang w:val="es-MX"/>
          <w14:ligatures w14:val="standardContextual"/>
        </w:rPr>
        <w:t>[La entidad no podrá exigir al proponente el desglose del AIU o componentes internos de la administración (A) en la propuesta económica, sino solo la discriminación de su valor en porcentaje (%). Para el proponente que resulte adjudicatario se podrá solicitar el desglose del A.I.U. ofertado.]</w:t>
      </w:r>
    </w:p>
    <w:p w14:paraId="3EAFAEA3"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p>
    <w:p w14:paraId="74CB746F"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 xml:space="preserve">Cuando el proponente exprese el AIU en porcentaje (%) y en pesos, prevalece el valor expresado en porcentaje (%). El porcentaje del A.I.U. que presenten los Proponentes no debe ser superior al porcentaje total del A.I.U establecido en el </w:t>
      </w:r>
      <w:r w:rsidRPr="00C2765B">
        <w:rPr>
          <w:rFonts w:ascii="Verdana" w:eastAsia="Aptos" w:hAnsi="Verdana" w:cs="Times New Roman"/>
          <w:kern w:val="2"/>
          <w:sz w:val="21"/>
          <w:szCs w:val="21"/>
          <w:lang w:val="es-MX"/>
          <w14:ligatures w14:val="standardContextual"/>
        </w:rPr>
        <w:fldChar w:fldCharType="begin"/>
      </w:r>
      <w:r w:rsidRPr="00C2765B">
        <w:rPr>
          <w:rFonts w:ascii="Verdana" w:eastAsia="Aptos" w:hAnsi="Verdana" w:cs="Times New Roman"/>
          <w:kern w:val="2"/>
          <w:sz w:val="21"/>
          <w:szCs w:val="21"/>
          <w:lang w:val="es-MX"/>
          <w14:ligatures w14:val="standardContextual"/>
        </w:rPr>
        <w:instrText xml:space="preserve"> REF _Ref57725061 \h  \* MERGEFORMAT </w:instrText>
      </w:r>
      <w:r w:rsidRPr="00C2765B">
        <w:rPr>
          <w:rFonts w:ascii="Verdana" w:eastAsia="Aptos" w:hAnsi="Verdana" w:cs="Times New Roman"/>
          <w:kern w:val="2"/>
          <w:sz w:val="21"/>
          <w:szCs w:val="21"/>
          <w:lang w:val="es-MX"/>
          <w14:ligatures w14:val="standardContextual"/>
        </w:rPr>
      </w:r>
      <w:r w:rsidRPr="00C2765B">
        <w:rPr>
          <w:rFonts w:ascii="Verdana" w:eastAsia="Aptos" w:hAnsi="Verdana" w:cs="Times New Roman"/>
          <w:kern w:val="2"/>
          <w:sz w:val="21"/>
          <w:szCs w:val="21"/>
          <w:lang w:val="es-MX"/>
          <w14:ligatures w14:val="standardContextual"/>
        </w:rPr>
        <w:fldChar w:fldCharType="separate"/>
      </w:r>
      <w:r w:rsidRPr="00C2765B">
        <w:rPr>
          <w:rFonts w:ascii="Verdana" w:eastAsia="Aptos" w:hAnsi="Verdana" w:cs="Times New Roman"/>
          <w:kern w:val="2"/>
          <w:sz w:val="21"/>
          <w:szCs w:val="21"/>
          <w:lang w:val="es-MX"/>
          <w14:ligatures w14:val="standardContextual"/>
        </w:rPr>
        <w:t>Formulario 1– Formulario de Presupuesto Oficial</w:t>
      </w:r>
      <w:r w:rsidRPr="00C2765B">
        <w:rPr>
          <w:rFonts w:ascii="Verdana" w:eastAsia="Aptos" w:hAnsi="Verdana" w:cs="Times New Roman"/>
          <w:kern w:val="2"/>
          <w:sz w:val="21"/>
          <w:szCs w:val="21"/>
          <w:lang w:val="es-MX"/>
          <w14:ligatures w14:val="standardContextual"/>
        </w:rPr>
        <w:fldChar w:fldCharType="end"/>
      </w:r>
      <w:r w:rsidRPr="00C2765B">
        <w:rPr>
          <w:rFonts w:ascii="Verdana" w:eastAsia="Aptos" w:hAnsi="Verdana" w:cs="Times New Roman"/>
          <w:kern w:val="2"/>
          <w:sz w:val="21"/>
          <w:szCs w:val="21"/>
          <w:lang w:val="es-MX"/>
          <w14:ligatures w14:val="standardContextual"/>
        </w:rPr>
        <w:t xml:space="preserve">. En consecuencia, el Proponente puede configurar libremente el porcentaje individual de la A, de la I y de la U, siempre que la sumatoria de ellos no exceda el porcentaje total definido por la Entidad en el </w:t>
      </w:r>
      <w:r w:rsidRPr="00C2765B">
        <w:rPr>
          <w:rFonts w:ascii="Verdana" w:eastAsia="Aptos" w:hAnsi="Verdana" w:cs="Times New Roman"/>
          <w:kern w:val="2"/>
          <w:sz w:val="21"/>
          <w:szCs w:val="21"/>
          <w:lang w:val="es-MX"/>
          <w14:ligatures w14:val="standardContextual"/>
        </w:rPr>
        <w:fldChar w:fldCharType="begin"/>
      </w:r>
      <w:r w:rsidRPr="00C2765B">
        <w:rPr>
          <w:rFonts w:ascii="Verdana" w:eastAsia="Aptos" w:hAnsi="Verdana" w:cs="Times New Roman"/>
          <w:kern w:val="2"/>
          <w:sz w:val="21"/>
          <w:szCs w:val="21"/>
          <w:lang w:val="es-MX"/>
          <w14:ligatures w14:val="standardContextual"/>
        </w:rPr>
        <w:instrText xml:space="preserve"> REF _Ref57725061 \h  \* MERGEFORMAT </w:instrText>
      </w:r>
      <w:r w:rsidRPr="00C2765B">
        <w:rPr>
          <w:rFonts w:ascii="Verdana" w:eastAsia="Aptos" w:hAnsi="Verdana" w:cs="Times New Roman"/>
          <w:kern w:val="2"/>
          <w:sz w:val="21"/>
          <w:szCs w:val="21"/>
          <w:lang w:val="es-MX"/>
          <w14:ligatures w14:val="standardContextual"/>
        </w:rPr>
      </w:r>
      <w:r w:rsidRPr="00C2765B">
        <w:rPr>
          <w:rFonts w:ascii="Verdana" w:eastAsia="Aptos" w:hAnsi="Verdana" w:cs="Times New Roman"/>
          <w:kern w:val="2"/>
          <w:sz w:val="21"/>
          <w:szCs w:val="21"/>
          <w:lang w:val="es-MX"/>
          <w14:ligatures w14:val="standardContextual"/>
        </w:rPr>
        <w:fldChar w:fldCharType="separate"/>
      </w:r>
      <w:r w:rsidRPr="00C2765B">
        <w:rPr>
          <w:rFonts w:ascii="Verdana" w:eastAsia="Aptos" w:hAnsi="Verdana" w:cs="Times New Roman"/>
          <w:kern w:val="2"/>
          <w:sz w:val="21"/>
          <w:szCs w:val="21"/>
          <w:lang w:val="es-MX"/>
          <w14:ligatures w14:val="standardContextual"/>
        </w:rPr>
        <w:t>Formulario 1– Formulario de Presupuesto Oficial</w:t>
      </w:r>
      <w:r w:rsidRPr="00C2765B">
        <w:rPr>
          <w:rFonts w:ascii="Verdana" w:eastAsia="Aptos" w:hAnsi="Verdana" w:cs="Times New Roman"/>
          <w:kern w:val="2"/>
          <w:sz w:val="21"/>
          <w:szCs w:val="21"/>
          <w:lang w:val="es-MX"/>
          <w14:ligatures w14:val="standardContextual"/>
        </w:rPr>
        <w:fldChar w:fldCharType="end"/>
      </w:r>
      <w:r w:rsidRPr="00C2765B">
        <w:rPr>
          <w:rFonts w:ascii="Verdana" w:eastAsia="Aptos" w:hAnsi="Verdana" w:cs="Times New Roman"/>
          <w:kern w:val="2"/>
          <w:sz w:val="21"/>
          <w:szCs w:val="21"/>
          <w:lang w:val="es-MX"/>
          <w14:ligatures w14:val="standardContextual"/>
        </w:rPr>
        <w:t>.</w:t>
      </w:r>
    </w:p>
    <w:p w14:paraId="3C3EC2A1" w14:textId="77777777" w:rsidR="00F962A1" w:rsidRPr="00C2765B" w:rsidRDefault="00F962A1" w:rsidP="00F962A1">
      <w:pPr>
        <w:adjustRightInd w:val="0"/>
        <w:spacing w:after="0" w:line="240" w:lineRule="auto"/>
        <w:ind w:left="709" w:right="709"/>
        <w:jc w:val="both"/>
        <w:rPr>
          <w:rFonts w:ascii="Verdana" w:eastAsia="Aptos" w:hAnsi="Verdana" w:cs="Times New Roman"/>
          <w:kern w:val="2"/>
          <w:sz w:val="21"/>
          <w:szCs w:val="21"/>
          <w:lang w:val="es-MX"/>
          <w14:ligatures w14:val="standardContextual"/>
        </w:rPr>
      </w:pPr>
    </w:p>
    <w:p w14:paraId="4EBD8184" w14:textId="77777777" w:rsidR="00F962A1" w:rsidRPr="00C2765B" w:rsidRDefault="00F962A1" w:rsidP="00F962A1">
      <w:pPr>
        <w:adjustRightInd w:val="0"/>
        <w:snapToGrid w:val="0"/>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Los componentes internos de la administración (A) deberán ser presentados por el adjudicatario del presente proceso de contratación en la oportunidad establecida en el numeral 8.1.”</w:t>
      </w:r>
    </w:p>
    <w:p w14:paraId="571E756D" w14:textId="77777777" w:rsidR="00F962A1" w:rsidRPr="00C2765B" w:rsidRDefault="00F962A1" w:rsidP="00F962A1">
      <w:pPr>
        <w:snapToGrid w:val="0"/>
        <w:spacing w:after="0" w:line="240" w:lineRule="auto"/>
        <w:jc w:val="both"/>
        <w:rPr>
          <w:rFonts w:ascii="Verdana" w:eastAsia="Calibri" w:hAnsi="Verdana" w:cs="Arial"/>
          <w:color w:val="000000"/>
          <w:sz w:val="21"/>
          <w:szCs w:val="21"/>
          <w:lang w:val="es-ES"/>
        </w:rPr>
      </w:pPr>
    </w:p>
    <w:p w14:paraId="468BB395" w14:textId="77777777" w:rsidR="00F962A1" w:rsidRDefault="00F962A1" w:rsidP="00F962A1">
      <w:pPr>
        <w:numPr>
          <w:ilvl w:val="0"/>
          <w:numId w:val="28"/>
        </w:numPr>
        <w:snapToGrid w:val="0"/>
        <w:spacing w:after="0" w:line="276" w:lineRule="auto"/>
        <w:contextualSpacing/>
        <w:jc w:val="both"/>
        <w:rPr>
          <w:rFonts w:ascii="Verdana" w:eastAsia="Calibri" w:hAnsi="Verdana" w:cs="Arial"/>
          <w:color w:val="000000"/>
        </w:rPr>
      </w:pPr>
      <w:r w:rsidRPr="00C2765B">
        <w:rPr>
          <w:rFonts w:ascii="Verdana" w:eastAsia="Calibri" w:hAnsi="Verdana" w:cs="Arial"/>
          <w:color w:val="000000"/>
        </w:rPr>
        <w:t>Este numeral precisa</w:t>
      </w:r>
      <w:r>
        <w:rPr>
          <w:rFonts w:ascii="Verdana" w:eastAsia="Calibri" w:hAnsi="Verdana" w:cs="Arial"/>
          <w:color w:val="000000"/>
        </w:rPr>
        <w:t xml:space="preserve"> que la entidad no podrá exigir al proponente el desglose del AIU o de los componentes internos de la administración (A) </w:t>
      </w:r>
      <w:r>
        <w:rPr>
          <w:rFonts w:ascii="Verdana" w:eastAsia="Calibri" w:hAnsi="Verdana" w:cs="Arial"/>
          <w:color w:val="000000"/>
        </w:rPr>
        <w:lastRenderedPageBreak/>
        <w:t>en la propuesta económica, sino solo la discriminación de su valor en porcentaje (%). Ahora bien, para el proponente que resulte adjudicatario, la entidad sí podrá solicitar el desglose del AIU ofertado.</w:t>
      </w:r>
      <w:r w:rsidRPr="00C2765B">
        <w:rPr>
          <w:rFonts w:ascii="Verdana" w:eastAsia="Calibri" w:hAnsi="Verdana" w:cs="Arial"/>
          <w:color w:val="000000"/>
        </w:rPr>
        <w:t xml:space="preserve"> </w:t>
      </w:r>
    </w:p>
    <w:p w14:paraId="787544ED" w14:textId="77777777" w:rsidR="00F962A1" w:rsidRDefault="00F962A1" w:rsidP="00F962A1">
      <w:pPr>
        <w:snapToGrid w:val="0"/>
        <w:spacing w:after="0" w:line="276" w:lineRule="auto"/>
        <w:ind w:left="720"/>
        <w:contextualSpacing/>
        <w:jc w:val="both"/>
        <w:rPr>
          <w:rFonts w:ascii="Verdana" w:eastAsia="Calibri" w:hAnsi="Verdana" w:cs="Arial"/>
          <w:color w:val="000000"/>
        </w:rPr>
      </w:pPr>
    </w:p>
    <w:p w14:paraId="45E22438" w14:textId="77777777" w:rsidR="00F962A1" w:rsidRPr="00C2765B" w:rsidRDefault="00F962A1" w:rsidP="00F962A1">
      <w:pPr>
        <w:numPr>
          <w:ilvl w:val="0"/>
          <w:numId w:val="28"/>
        </w:numPr>
        <w:snapToGrid w:val="0"/>
        <w:spacing w:after="0" w:line="276" w:lineRule="auto"/>
        <w:contextualSpacing/>
        <w:jc w:val="both"/>
        <w:rPr>
          <w:rFonts w:ascii="Verdana" w:eastAsia="Calibri" w:hAnsi="Verdana" w:cs="Arial"/>
          <w:color w:val="000000"/>
        </w:rPr>
      </w:pPr>
      <w:r>
        <w:rPr>
          <w:rFonts w:ascii="Verdana" w:eastAsia="Calibri" w:hAnsi="Verdana" w:cs="Arial"/>
          <w:color w:val="000000"/>
        </w:rPr>
        <w:t>Asimismo, el numeral indica</w:t>
      </w:r>
      <w:r w:rsidRPr="00C2765B">
        <w:rPr>
          <w:rFonts w:ascii="Verdana" w:eastAsia="Calibri" w:hAnsi="Verdana" w:cs="Arial"/>
          <w:color w:val="000000"/>
        </w:rPr>
        <w:t xml:space="preserve"> que los componentes de la “administración (A)” se deben presentar únicamente por el adjudicatario, al radicar la documentación técnica, esto es, en la oportunidad definida por la entidad estatal en el numeral “8.1 INFORMACIÓN PARA EL CONTROL DE LA EJECUCIÓN DE LA OBRA”. Es decir, la entidad estatal en la etapa de evaluación de la propuesta debe verificar que el AIU esté expresado únicamente en porcentaje (%) y no en pesos y que esté consignado y discriminado en la propuesta económica.</w:t>
      </w:r>
    </w:p>
    <w:p w14:paraId="0F945662" w14:textId="77777777" w:rsidR="00F962A1" w:rsidRPr="00C2765B" w:rsidRDefault="00F962A1" w:rsidP="00F962A1">
      <w:pPr>
        <w:snapToGrid w:val="0"/>
        <w:spacing w:after="0" w:line="276" w:lineRule="auto"/>
        <w:ind w:left="720"/>
        <w:contextualSpacing/>
        <w:jc w:val="both"/>
        <w:rPr>
          <w:rFonts w:ascii="Verdana" w:eastAsia="Calibri" w:hAnsi="Verdana" w:cs="Arial"/>
          <w:color w:val="000000"/>
        </w:rPr>
      </w:pPr>
    </w:p>
    <w:p w14:paraId="48C29F81" w14:textId="77777777" w:rsidR="00F962A1" w:rsidRPr="00C2765B" w:rsidRDefault="00F962A1" w:rsidP="00F962A1">
      <w:pPr>
        <w:numPr>
          <w:ilvl w:val="0"/>
          <w:numId w:val="28"/>
        </w:numPr>
        <w:snapToGrid w:val="0"/>
        <w:spacing w:after="0" w:line="276" w:lineRule="auto"/>
        <w:contextualSpacing/>
        <w:jc w:val="both"/>
        <w:rPr>
          <w:rFonts w:ascii="Verdana" w:eastAsia="Calibri" w:hAnsi="Verdana" w:cs="Arial"/>
          <w:color w:val="000000"/>
        </w:rPr>
      </w:pPr>
      <w:r w:rsidRPr="00C2765B">
        <w:rPr>
          <w:rFonts w:ascii="Verdana" w:eastAsia="Calibri" w:hAnsi="Verdana" w:cs="Arial"/>
          <w:color w:val="000000"/>
        </w:rPr>
        <w:t>El “Documento Base o Pliego Tipo” establece en los literales “R” y “S” del numeral “1.15 CAUSALES DE RECHAZO”:</w:t>
      </w:r>
    </w:p>
    <w:p w14:paraId="6D6DF0A7" w14:textId="77777777" w:rsidR="00F962A1" w:rsidRPr="00C2765B" w:rsidRDefault="00F962A1" w:rsidP="00F962A1">
      <w:pPr>
        <w:spacing w:after="0" w:line="276" w:lineRule="auto"/>
        <w:ind w:firstLine="708"/>
        <w:jc w:val="both"/>
        <w:rPr>
          <w:rFonts w:ascii="Verdana" w:eastAsia="Calibri" w:hAnsi="Verdana" w:cs="Arial"/>
          <w:color w:val="000000"/>
          <w:sz w:val="21"/>
          <w:szCs w:val="21"/>
        </w:rPr>
      </w:pPr>
    </w:p>
    <w:p w14:paraId="2DB619E0" w14:textId="77777777" w:rsidR="00F962A1" w:rsidRPr="00C2765B" w:rsidRDefault="00F962A1" w:rsidP="00F962A1">
      <w:pPr>
        <w:snapToGrid w:val="0"/>
        <w:spacing w:after="0" w:line="240" w:lineRule="auto"/>
        <w:ind w:left="709" w:right="709"/>
        <w:jc w:val="both"/>
        <w:rPr>
          <w:rFonts w:ascii="Verdana" w:eastAsia="Calibri" w:hAnsi="Verdana" w:cs="Arial"/>
          <w:color w:val="000000"/>
          <w:sz w:val="21"/>
          <w:szCs w:val="21"/>
          <w:lang w:val="es-MX"/>
        </w:rPr>
      </w:pPr>
      <w:r w:rsidRPr="00C2765B">
        <w:rPr>
          <w:rFonts w:ascii="Verdana" w:eastAsia="Calibri" w:hAnsi="Verdana" w:cs="Arial"/>
          <w:color w:val="000000"/>
          <w:sz w:val="21"/>
          <w:szCs w:val="21"/>
          <w:lang w:val="es-MX"/>
        </w:rPr>
        <w:t xml:space="preserve">“R.  </w:t>
      </w:r>
      <w:r w:rsidRPr="00C2765B">
        <w:rPr>
          <w:rFonts w:ascii="Verdana" w:eastAsia="Calibri" w:hAnsi="Verdana" w:cs="Arial"/>
          <w:color w:val="000000"/>
          <w:sz w:val="21"/>
          <w:szCs w:val="21"/>
          <w:highlight w:val="lightGray"/>
          <w:lang w:val="es-MX"/>
        </w:rPr>
        <w:t>[Esta causal aplica de acuerdo con la configuración de la oferta económica por parte de la entidad</w:t>
      </w:r>
      <w:r w:rsidRPr="00C2765B">
        <w:rPr>
          <w:rFonts w:ascii="Verdana" w:eastAsia="Calibri" w:hAnsi="Verdana" w:cs="Arial"/>
          <w:color w:val="000000"/>
          <w:sz w:val="21"/>
          <w:szCs w:val="21"/>
          <w:lang w:val="es-MX"/>
        </w:rPr>
        <w:t xml:space="preserve">] No discriminar en la oferta económica el porcentaje de AIU en la forma como lo establece el Pliego de Condiciones y el Formulario 1 – Formulario de presupuesto oficial. </w:t>
      </w:r>
      <w:r w:rsidRPr="00C2765B">
        <w:rPr>
          <w:rFonts w:ascii="Verdana" w:eastAsia="Calibri" w:hAnsi="Verdana" w:cs="Arial"/>
          <w:color w:val="000000"/>
          <w:sz w:val="21"/>
          <w:szCs w:val="21"/>
          <w:highlight w:val="lightGray"/>
          <w:lang w:val="es-MX"/>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3E0B6CBC" w14:textId="77777777" w:rsidR="00F962A1" w:rsidRPr="00C2765B" w:rsidRDefault="00F962A1" w:rsidP="00F962A1">
      <w:pPr>
        <w:snapToGrid w:val="0"/>
        <w:spacing w:after="0" w:line="240" w:lineRule="auto"/>
        <w:ind w:left="709" w:right="709"/>
        <w:jc w:val="both"/>
        <w:rPr>
          <w:rFonts w:ascii="Verdana" w:eastAsia="Calibri" w:hAnsi="Verdana" w:cs="Arial"/>
          <w:color w:val="000000"/>
          <w:sz w:val="21"/>
          <w:szCs w:val="21"/>
          <w:lang w:val="es-MX"/>
        </w:rPr>
      </w:pPr>
    </w:p>
    <w:p w14:paraId="57573147" w14:textId="77777777" w:rsidR="00F962A1" w:rsidRPr="00C2765B" w:rsidRDefault="00F962A1" w:rsidP="00F962A1">
      <w:pPr>
        <w:snapToGrid w:val="0"/>
        <w:spacing w:after="0" w:line="240" w:lineRule="auto"/>
        <w:ind w:left="709" w:right="709"/>
        <w:jc w:val="both"/>
        <w:rPr>
          <w:rFonts w:ascii="Verdana" w:eastAsia="Calibri" w:hAnsi="Verdana" w:cs="Arial"/>
          <w:color w:val="000000"/>
          <w:sz w:val="21"/>
          <w:szCs w:val="21"/>
          <w:lang w:val="es-MX"/>
        </w:rPr>
      </w:pPr>
      <w:r w:rsidRPr="00C2765B">
        <w:rPr>
          <w:rFonts w:ascii="Verdana" w:eastAsia="Calibri" w:hAnsi="Verdana" w:cs="Arial"/>
          <w:color w:val="000000"/>
          <w:sz w:val="21"/>
          <w:szCs w:val="21"/>
          <w:lang w:val="es-MX"/>
        </w:rPr>
        <w:t xml:space="preserve">S.  Ofrecer como AIU un porcentaje cuya sumatoria sea superior al establecido por la Entidad en el </w:t>
      </w:r>
      <w:r w:rsidRPr="00C2765B">
        <w:rPr>
          <w:rFonts w:ascii="Verdana" w:eastAsia="Calibri" w:hAnsi="Verdana" w:cs="Arial"/>
          <w:color w:val="000000"/>
          <w:sz w:val="21"/>
          <w:szCs w:val="21"/>
          <w:lang w:val="es-MX"/>
        </w:rPr>
        <w:fldChar w:fldCharType="begin"/>
      </w:r>
      <w:r w:rsidRPr="00C2765B">
        <w:rPr>
          <w:rFonts w:ascii="Verdana" w:eastAsia="Calibri" w:hAnsi="Verdana" w:cs="Arial"/>
          <w:color w:val="000000"/>
          <w:sz w:val="21"/>
          <w:szCs w:val="21"/>
          <w:lang w:val="es-MX"/>
        </w:rPr>
        <w:instrText xml:space="preserve"> REF _Ref57725061 \h </w:instrText>
      </w:r>
      <w:r w:rsidRPr="00C2765B">
        <w:rPr>
          <w:rFonts w:ascii="Verdana" w:eastAsia="Aptos" w:hAnsi="Verdana" w:cs="Times New Roman"/>
          <w:kern w:val="2"/>
          <w:sz w:val="21"/>
          <w:szCs w:val="21"/>
          <w:lang w:val="es-MX"/>
          <w14:ligatures w14:val="standardContextual"/>
        </w:rPr>
        <w:instrText xml:space="preserve"> \* MERGEFORMAT </w:instrText>
      </w:r>
      <w:r w:rsidRPr="00C2765B">
        <w:rPr>
          <w:rFonts w:ascii="Verdana" w:eastAsia="Calibri" w:hAnsi="Verdana" w:cs="Arial"/>
          <w:color w:val="000000"/>
          <w:sz w:val="21"/>
          <w:szCs w:val="21"/>
          <w:lang w:val="es-MX"/>
        </w:rPr>
      </w:r>
      <w:r w:rsidRPr="00C2765B">
        <w:rPr>
          <w:rFonts w:ascii="Verdana" w:eastAsia="Calibri" w:hAnsi="Verdana" w:cs="Arial"/>
          <w:color w:val="000000"/>
          <w:sz w:val="21"/>
          <w:szCs w:val="21"/>
          <w:lang w:val="es-MX"/>
        </w:rPr>
        <w:fldChar w:fldCharType="separate"/>
      </w:r>
      <w:r w:rsidRPr="00C2765B">
        <w:rPr>
          <w:rFonts w:ascii="Verdana" w:eastAsia="Calibri" w:hAnsi="Verdana" w:cs="Arial"/>
          <w:color w:val="000000"/>
          <w:sz w:val="21"/>
          <w:szCs w:val="21"/>
          <w:lang w:val="es-MX"/>
        </w:rPr>
        <w:t>Formulario 1– Formulario de Presupuesto Oficial</w:t>
      </w:r>
      <w:r w:rsidRPr="00C2765B">
        <w:rPr>
          <w:rFonts w:ascii="Verdana" w:eastAsia="Calibri" w:hAnsi="Verdana" w:cs="Arial"/>
          <w:color w:val="000000"/>
          <w:sz w:val="21"/>
          <w:szCs w:val="21"/>
          <w:lang w:val="es-MX"/>
        </w:rPr>
        <w:fldChar w:fldCharType="end"/>
      </w:r>
      <w:r w:rsidRPr="00C2765B">
        <w:rPr>
          <w:rFonts w:ascii="Verdana" w:eastAsia="Calibri" w:hAnsi="Verdana" w:cs="Arial"/>
          <w:color w:val="000000"/>
          <w:sz w:val="21"/>
          <w:szCs w:val="21"/>
          <w:lang w:val="es-MX"/>
        </w:rPr>
        <w:t>.”</w:t>
      </w:r>
    </w:p>
    <w:p w14:paraId="470A477C" w14:textId="77777777" w:rsidR="00F962A1" w:rsidRPr="00C2765B" w:rsidRDefault="00F962A1" w:rsidP="00F962A1">
      <w:pPr>
        <w:snapToGrid w:val="0"/>
        <w:spacing w:after="0" w:line="240" w:lineRule="auto"/>
        <w:ind w:right="709"/>
        <w:jc w:val="both"/>
        <w:rPr>
          <w:rFonts w:ascii="Verdana" w:eastAsia="Calibri" w:hAnsi="Verdana" w:cs="Arial"/>
          <w:color w:val="000000"/>
          <w:lang w:val="es-MX"/>
        </w:rPr>
      </w:pPr>
    </w:p>
    <w:p w14:paraId="70653FF4" w14:textId="77777777" w:rsidR="00F962A1" w:rsidRDefault="00F962A1" w:rsidP="00F962A1">
      <w:pPr>
        <w:numPr>
          <w:ilvl w:val="0"/>
          <w:numId w:val="29"/>
        </w:numPr>
        <w:spacing w:after="0" w:line="276" w:lineRule="auto"/>
        <w:contextualSpacing/>
        <w:jc w:val="both"/>
        <w:rPr>
          <w:rFonts w:ascii="Verdana" w:eastAsia="Calibri" w:hAnsi="Verdana" w:cs="Arial"/>
          <w:color w:val="000000"/>
        </w:rPr>
      </w:pPr>
      <w:r w:rsidRPr="00C2765B">
        <w:rPr>
          <w:rFonts w:ascii="Verdana" w:eastAsia="Calibri" w:hAnsi="Verdana" w:cs="Arial"/>
          <w:color w:val="000000"/>
        </w:rPr>
        <w:t xml:space="preserve">Estas causales de rechazo establecen la consecuencia cuando el proponente en su oferta económica no cumple con las reglas definidas en el numeral 4.1.1, es decir, cuando no se discrimina el porcentaje de AIU en la forma prevista y cuando se ofrece un porcentaje de AIU que difiere del rango definido por la entidad estatal. </w:t>
      </w:r>
    </w:p>
    <w:p w14:paraId="775360A9" w14:textId="77777777" w:rsidR="00F962A1" w:rsidRDefault="00F962A1" w:rsidP="00F962A1">
      <w:pPr>
        <w:spacing w:after="0" w:line="276" w:lineRule="auto"/>
        <w:ind w:left="720"/>
        <w:contextualSpacing/>
        <w:jc w:val="both"/>
        <w:rPr>
          <w:rFonts w:ascii="Verdana" w:eastAsia="Calibri" w:hAnsi="Verdana" w:cs="Arial"/>
          <w:color w:val="000000"/>
        </w:rPr>
      </w:pPr>
    </w:p>
    <w:p w14:paraId="54B01852" w14:textId="77777777" w:rsidR="00F962A1" w:rsidRPr="00C2765B" w:rsidRDefault="00F962A1" w:rsidP="00F962A1">
      <w:pPr>
        <w:numPr>
          <w:ilvl w:val="0"/>
          <w:numId w:val="29"/>
        </w:numPr>
        <w:spacing w:after="0" w:line="276" w:lineRule="auto"/>
        <w:contextualSpacing/>
        <w:jc w:val="both"/>
        <w:rPr>
          <w:rFonts w:ascii="Verdana" w:eastAsia="Calibri" w:hAnsi="Verdana" w:cs="Arial"/>
          <w:color w:val="000000"/>
        </w:rPr>
      </w:pPr>
      <w:r>
        <w:rPr>
          <w:rFonts w:ascii="Verdana" w:eastAsia="Calibri" w:hAnsi="Verdana" w:cs="Arial"/>
          <w:color w:val="000000"/>
        </w:rPr>
        <w:t xml:space="preserve">Particularmente, la causal de rechazo del literal “R” establece que en ningún caso la entidad podrá rechazar la oferta por no presentar el desglose del AIU en la oferta económica. De esta manera, eventualmente la entidad podrá rechazar la oferta cuando no se discrimine el porcentaje </w:t>
      </w:r>
      <w:r>
        <w:rPr>
          <w:rFonts w:ascii="Verdana" w:eastAsia="Calibri" w:hAnsi="Verdana" w:cs="Arial"/>
          <w:color w:val="000000"/>
        </w:rPr>
        <w:lastRenderedPageBreak/>
        <w:t xml:space="preserve">de AIU en la forma como lo establece el Pliego de Condiciones y el Formulario 1 – Formulario de Presupuesto Oficial, pero no podrá rechazar por no presentar el desglose del AIU. </w:t>
      </w:r>
    </w:p>
    <w:p w14:paraId="02A1F568" w14:textId="77777777" w:rsidR="00F962A1" w:rsidRPr="00C2765B" w:rsidRDefault="00F962A1" w:rsidP="00F962A1">
      <w:pPr>
        <w:spacing w:line="276" w:lineRule="auto"/>
        <w:ind w:left="720"/>
        <w:contextualSpacing/>
        <w:jc w:val="both"/>
        <w:rPr>
          <w:rFonts w:ascii="Verdana" w:eastAsia="Calibri" w:hAnsi="Verdana" w:cs="Arial"/>
          <w:color w:val="000000"/>
        </w:rPr>
      </w:pPr>
    </w:p>
    <w:p w14:paraId="1A5054AD" w14:textId="77777777" w:rsidR="00F962A1" w:rsidRPr="00C2765B" w:rsidRDefault="00F962A1" w:rsidP="00F962A1">
      <w:pPr>
        <w:numPr>
          <w:ilvl w:val="0"/>
          <w:numId w:val="29"/>
        </w:numPr>
        <w:spacing w:after="0" w:line="276" w:lineRule="auto"/>
        <w:contextualSpacing/>
        <w:jc w:val="both"/>
        <w:rPr>
          <w:rFonts w:ascii="Verdana" w:eastAsia="Calibri" w:hAnsi="Verdana" w:cs="Arial"/>
          <w:color w:val="000000"/>
        </w:rPr>
      </w:pPr>
      <w:r w:rsidRPr="00C2765B">
        <w:rPr>
          <w:rFonts w:ascii="Verdana" w:eastAsia="Calibri" w:hAnsi="Verdana" w:cs="Arial"/>
          <w:color w:val="000000"/>
        </w:rPr>
        <w:t>Además, el “Formulario 1– Formulario de Presupuesto Oficial” contiene las siguientes notas aplicables a los procesos de contratación estructurados por precios unitarios:</w:t>
      </w:r>
    </w:p>
    <w:p w14:paraId="16CD25AD" w14:textId="77777777" w:rsidR="00F962A1" w:rsidRPr="00C2765B" w:rsidRDefault="00F962A1" w:rsidP="00F962A1">
      <w:pPr>
        <w:spacing w:after="0" w:line="276" w:lineRule="auto"/>
        <w:jc w:val="both"/>
        <w:rPr>
          <w:rFonts w:ascii="Verdana" w:eastAsia="Calibri" w:hAnsi="Verdana" w:cs="Arial"/>
          <w:bCs/>
          <w:lang w:val="es-ES"/>
        </w:rPr>
      </w:pPr>
    </w:p>
    <w:p w14:paraId="572B2A80" w14:textId="77777777" w:rsidR="00F962A1" w:rsidRPr="00C2765B" w:rsidRDefault="00F962A1" w:rsidP="00F962A1">
      <w:pPr>
        <w:spacing w:after="0" w:line="240" w:lineRule="auto"/>
        <w:ind w:left="709" w:right="709"/>
        <w:jc w:val="both"/>
        <w:rPr>
          <w:rFonts w:ascii="Verdana" w:eastAsia="Calibri" w:hAnsi="Verdana" w:cs="Arial"/>
          <w:sz w:val="21"/>
          <w:szCs w:val="21"/>
        </w:rPr>
      </w:pPr>
      <w:r w:rsidRPr="00C2765B">
        <w:rPr>
          <w:rFonts w:ascii="Verdana" w:eastAsia="Calibri" w:hAnsi="Verdana" w:cs="Arial"/>
          <w:sz w:val="21"/>
          <w:szCs w:val="21"/>
        </w:rPr>
        <w:t>“NOTA 1: Se debe tener en cuenta que el PRECIO UNITARIO incluye el valor de A.I.U.</w:t>
      </w:r>
    </w:p>
    <w:p w14:paraId="2E0A435F" w14:textId="77777777" w:rsidR="00F962A1" w:rsidRPr="00C2765B" w:rsidRDefault="00F962A1" w:rsidP="00F962A1">
      <w:pPr>
        <w:spacing w:after="0" w:line="240" w:lineRule="auto"/>
        <w:ind w:left="709" w:right="709"/>
        <w:jc w:val="both"/>
        <w:rPr>
          <w:rFonts w:ascii="Verdana" w:eastAsia="Calibri" w:hAnsi="Verdana" w:cs="Arial"/>
          <w:sz w:val="21"/>
          <w:szCs w:val="21"/>
        </w:rPr>
      </w:pPr>
      <w:r w:rsidRPr="00C2765B">
        <w:rPr>
          <w:rFonts w:ascii="Verdana" w:eastAsia="Calibri" w:hAnsi="Verdana" w:cs="Arial"/>
          <w:sz w:val="21"/>
          <w:szCs w:val="21"/>
        </w:rPr>
        <w:t xml:space="preserve">[…] </w:t>
      </w:r>
    </w:p>
    <w:p w14:paraId="5AC7694E" w14:textId="77777777" w:rsidR="00F962A1" w:rsidRPr="00C2765B" w:rsidRDefault="00F962A1" w:rsidP="00F962A1">
      <w:pPr>
        <w:spacing w:after="0" w:line="240" w:lineRule="auto"/>
        <w:ind w:left="709" w:right="709"/>
        <w:jc w:val="both"/>
        <w:rPr>
          <w:rFonts w:ascii="Verdana" w:eastAsia="Calibri" w:hAnsi="Verdana" w:cs="Arial"/>
          <w:sz w:val="21"/>
          <w:szCs w:val="21"/>
          <w:lang w:val="es-ES"/>
        </w:rPr>
      </w:pPr>
      <w:r w:rsidRPr="00C2765B">
        <w:rPr>
          <w:rFonts w:ascii="Verdana" w:eastAsia="Calibri" w:hAnsi="Verdana" w:cs="Arial"/>
          <w:sz w:val="21"/>
          <w:szCs w:val="21"/>
        </w:rPr>
        <w:t>NOTA 3: El A.I.U y su discriminación deben estar en porcentaje (%).”</w:t>
      </w:r>
    </w:p>
    <w:p w14:paraId="2F1FAE5A" w14:textId="77777777" w:rsidR="00F962A1" w:rsidRPr="00C2765B" w:rsidRDefault="00F962A1" w:rsidP="00F962A1">
      <w:pPr>
        <w:spacing w:after="0"/>
        <w:ind w:left="709" w:right="709"/>
        <w:jc w:val="both"/>
        <w:rPr>
          <w:rFonts w:ascii="Verdana" w:eastAsia="Calibri" w:hAnsi="Verdana" w:cs="Arial"/>
          <w:sz w:val="21"/>
          <w:szCs w:val="21"/>
          <w:lang w:val="es-ES"/>
        </w:rPr>
      </w:pPr>
    </w:p>
    <w:p w14:paraId="6D708471" w14:textId="77777777" w:rsidR="00F962A1" w:rsidRPr="00C2765B" w:rsidRDefault="00F962A1" w:rsidP="00F962A1">
      <w:pPr>
        <w:numPr>
          <w:ilvl w:val="0"/>
          <w:numId w:val="30"/>
        </w:numPr>
        <w:spacing w:after="0" w:line="276" w:lineRule="auto"/>
        <w:contextualSpacing/>
        <w:jc w:val="both"/>
        <w:rPr>
          <w:rFonts w:ascii="Verdana" w:eastAsia="Calibri" w:hAnsi="Verdana" w:cs="Arial"/>
          <w:bCs/>
          <w:lang w:val="es-ES"/>
        </w:rPr>
      </w:pPr>
      <w:r w:rsidRPr="00C2765B">
        <w:rPr>
          <w:rFonts w:ascii="Verdana" w:eastAsia="Calibri" w:hAnsi="Verdana" w:cs="Arial"/>
          <w:bCs/>
        </w:rPr>
        <w:t>La nota 1 debe ser tenida en cuenta desde el momento en que opte por adelantar el proceso a través de precios unitarios, por cuanto en los valores definidos por la entidad estatal debe incluir el valor del AIU. Por su parte, la nota 3, reitera lo establecido en el numeral 4.1.1 y la causal de rechazo “R” del numeral 1.15 del “Documento Base”.</w:t>
      </w:r>
    </w:p>
    <w:p w14:paraId="1095C369" w14:textId="77777777" w:rsidR="00F962A1" w:rsidRPr="00C2765B" w:rsidRDefault="00F962A1" w:rsidP="00F962A1">
      <w:pPr>
        <w:spacing w:after="0" w:line="276" w:lineRule="auto"/>
        <w:ind w:left="720"/>
        <w:contextualSpacing/>
        <w:jc w:val="both"/>
        <w:rPr>
          <w:rFonts w:ascii="Verdana" w:eastAsia="Calibri" w:hAnsi="Verdana" w:cs="Arial"/>
          <w:bCs/>
          <w:lang w:val="es-ES"/>
        </w:rPr>
      </w:pPr>
    </w:p>
    <w:p w14:paraId="5C765D66" w14:textId="77777777" w:rsidR="00F962A1" w:rsidRPr="00C2765B" w:rsidRDefault="00F962A1" w:rsidP="00F962A1">
      <w:pPr>
        <w:numPr>
          <w:ilvl w:val="0"/>
          <w:numId w:val="30"/>
        </w:numPr>
        <w:spacing w:after="0" w:line="276" w:lineRule="auto"/>
        <w:contextualSpacing/>
        <w:jc w:val="both"/>
        <w:rPr>
          <w:rFonts w:ascii="Verdana" w:eastAsia="Calibri" w:hAnsi="Verdana" w:cs="Arial"/>
          <w:bCs/>
          <w:lang w:val="es-ES"/>
        </w:rPr>
      </w:pPr>
      <w:r w:rsidRPr="00C2765B">
        <w:rPr>
          <w:rFonts w:ascii="Verdana" w:eastAsia="Calibri" w:hAnsi="Verdana" w:cs="Arial"/>
          <w:lang w:val="es-ES" w:eastAsia="es-ES"/>
        </w:rPr>
        <w:t>Por otra parte, es importante señalar que, el numeral “4.1 OFERTA ECONÓMICA” del “Documento Base” establece lo siguiente a propósito del análisis de precios unitarios –APU–:</w:t>
      </w:r>
    </w:p>
    <w:p w14:paraId="43E9EC1E" w14:textId="77777777" w:rsidR="00F962A1" w:rsidRPr="00C2765B" w:rsidRDefault="00F962A1" w:rsidP="00F962A1">
      <w:pPr>
        <w:adjustRightInd w:val="0"/>
        <w:snapToGrid w:val="0"/>
        <w:spacing w:after="0" w:line="276" w:lineRule="auto"/>
        <w:jc w:val="both"/>
        <w:rPr>
          <w:rFonts w:ascii="Verdana" w:eastAsia="Calibri" w:hAnsi="Verdana" w:cs="Arial"/>
          <w:lang w:val="es-ES" w:eastAsia="es-ES"/>
        </w:rPr>
      </w:pPr>
    </w:p>
    <w:p w14:paraId="0014217B" w14:textId="77777777" w:rsidR="00F962A1" w:rsidRPr="00C2765B" w:rsidRDefault="00F962A1" w:rsidP="00F962A1">
      <w:pPr>
        <w:adjustRightInd w:val="0"/>
        <w:snapToGrid w:val="0"/>
        <w:spacing w:after="0" w:line="240" w:lineRule="auto"/>
        <w:ind w:left="709" w:right="709"/>
        <w:jc w:val="both"/>
        <w:rPr>
          <w:rFonts w:ascii="Verdana" w:eastAsia="Calibri" w:hAnsi="Verdana" w:cs="Arial"/>
          <w:sz w:val="21"/>
          <w:szCs w:val="21"/>
          <w:lang w:val="es-ES" w:eastAsia="es-ES"/>
        </w:rPr>
      </w:pPr>
      <w:r w:rsidRPr="00C2765B">
        <w:rPr>
          <w:rFonts w:ascii="Verdana" w:eastAsia="Calibri" w:hAnsi="Verdana" w:cs="Arial"/>
          <w:sz w:val="21"/>
          <w:szCs w:val="21"/>
          <w:lang w:val="es-ES" w:eastAsia="es-ES"/>
        </w:rPr>
        <w:t>“[…]</w:t>
      </w:r>
    </w:p>
    <w:p w14:paraId="1F551259" w14:textId="77777777" w:rsidR="00F962A1" w:rsidRPr="00C2765B" w:rsidRDefault="00F962A1" w:rsidP="00F962A1">
      <w:pPr>
        <w:adjustRightInd w:val="0"/>
        <w:snapToGrid w:val="0"/>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highlight w:val="lightGray"/>
          <w:lang w:val="es-MX"/>
          <w14:ligatures w14:val="standardContextual"/>
        </w:rPr>
        <w:t>[Incluir en el evento en el que el proceso de contratación sea por precios unitarios]</w:t>
      </w:r>
      <w:r w:rsidRPr="00C2765B">
        <w:rPr>
          <w:rFonts w:ascii="Verdana" w:eastAsia="Aptos" w:hAnsi="Verdana" w:cs="Times New Roman"/>
          <w:kern w:val="2"/>
          <w:sz w:val="21"/>
          <w:szCs w:val="21"/>
          <w:lang w:val="es-MX"/>
          <w14:ligatures w14:val="standardContextual"/>
        </w:rPr>
        <w:t xml:space="preserve"> El desglose de los Análisis de Precios Unitarios publicados por la entidad es únicamente de referencia, constituye una guía para la preparación de la oferta. Si existe alguna duda o interrogante sobre la presentación de estos Análisis de Precios Unitarios y el precio de estudios publicados por la entidad, es deber de los Proponente hacerlos conocer dentro del plazo establecido en el Anexo 2 - Cronograma para la presentación de observaciones al proyecto de pliego de condiciones para que la Entidad los pueda estudiar.</w:t>
      </w:r>
    </w:p>
    <w:p w14:paraId="1DADAFAF" w14:textId="77777777" w:rsidR="00F962A1" w:rsidRPr="00C2765B" w:rsidRDefault="00F962A1" w:rsidP="00F962A1">
      <w:pPr>
        <w:adjustRightInd w:val="0"/>
        <w:snapToGrid w:val="0"/>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w:t>
      </w:r>
    </w:p>
    <w:p w14:paraId="2B399B66" w14:textId="77777777" w:rsidR="00F962A1" w:rsidRPr="00C2765B" w:rsidRDefault="00F962A1" w:rsidP="00F962A1">
      <w:pPr>
        <w:adjustRightInd w:val="0"/>
        <w:snapToGrid w:val="0"/>
        <w:spacing w:after="0" w:line="276" w:lineRule="auto"/>
        <w:jc w:val="both"/>
        <w:rPr>
          <w:rFonts w:ascii="Verdana" w:eastAsia="Calibri" w:hAnsi="Verdana" w:cs="Arial"/>
          <w:lang w:val="es-ES" w:eastAsia="es-ES"/>
        </w:rPr>
      </w:pPr>
    </w:p>
    <w:p w14:paraId="5C0B7530" w14:textId="77777777" w:rsidR="00F962A1" w:rsidRPr="00C2765B" w:rsidRDefault="00F962A1" w:rsidP="00F962A1">
      <w:pPr>
        <w:numPr>
          <w:ilvl w:val="0"/>
          <w:numId w:val="31"/>
        </w:numPr>
        <w:adjustRightInd w:val="0"/>
        <w:snapToGrid w:val="0"/>
        <w:spacing w:after="0" w:line="276" w:lineRule="auto"/>
        <w:contextualSpacing/>
        <w:jc w:val="both"/>
        <w:rPr>
          <w:rFonts w:ascii="Verdana" w:eastAsia="Calibri" w:hAnsi="Verdana" w:cs="Arial"/>
          <w:lang w:val="es-ES" w:eastAsia="es-ES"/>
        </w:rPr>
      </w:pPr>
      <w:r w:rsidRPr="00C2765B">
        <w:rPr>
          <w:rFonts w:ascii="Verdana" w:eastAsia="Calibri" w:hAnsi="Verdana" w:cs="Arial"/>
          <w:lang w:val="es-ES" w:eastAsia="es-ES"/>
        </w:rPr>
        <w:t xml:space="preserve">Y, adicionalmente, el numeral “8.2 ANÁLISIS DE PRECIOS UNITARIOS” establece lo que debe tener en cuenta el contratista para su elaboración: </w:t>
      </w:r>
    </w:p>
    <w:p w14:paraId="3E9BAA2C" w14:textId="77777777" w:rsidR="00F962A1" w:rsidRPr="00C2765B" w:rsidRDefault="00F962A1" w:rsidP="00F962A1">
      <w:pPr>
        <w:adjustRightInd w:val="0"/>
        <w:snapToGrid w:val="0"/>
        <w:spacing w:after="0" w:line="276" w:lineRule="auto"/>
        <w:jc w:val="both"/>
        <w:rPr>
          <w:rFonts w:ascii="Verdana" w:eastAsia="Calibri" w:hAnsi="Verdana" w:cs="Arial"/>
          <w:lang w:val="es-ES" w:eastAsia="es-ES"/>
        </w:rPr>
      </w:pPr>
    </w:p>
    <w:p w14:paraId="74DC3DDC" w14:textId="77777777" w:rsidR="00F962A1" w:rsidRPr="00C2765B" w:rsidRDefault="00F962A1" w:rsidP="00F962A1">
      <w:pPr>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“8.2 ANÁLISIS DE PRECIOS UNITARIOS</w:t>
      </w:r>
    </w:p>
    <w:p w14:paraId="403E25FF" w14:textId="77777777" w:rsidR="00F962A1" w:rsidRPr="00C2765B" w:rsidRDefault="00F962A1" w:rsidP="00F962A1">
      <w:pPr>
        <w:spacing w:after="0" w:line="240" w:lineRule="auto"/>
        <w:ind w:left="709" w:right="709"/>
        <w:jc w:val="both"/>
        <w:rPr>
          <w:rFonts w:ascii="Verdana" w:eastAsia="Aptos" w:hAnsi="Verdana" w:cs="Times New Roman"/>
          <w:kern w:val="2"/>
          <w:sz w:val="21"/>
          <w:szCs w:val="21"/>
          <w:lang w:val="es-MX"/>
          <w14:ligatures w14:val="standardContextual"/>
        </w:rPr>
      </w:pPr>
    </w:p>
    <w:p w14:paraId="2B4471E4" w14:textId="77777777" w:rsidR="00F962A1" w:rsidRPr="00C2765B" w:rsidRDefault="00F962A1" w:rsidP="00F962A1">
      <w:pPr>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 xml:space="preserve">El contratista deberá diligenciar para cada uno de los ítems enunciados en el Formulario 1 – Formulario del presupuesto oficial, el análisis de precios unitarios (costos directos más indirectos), de acuerdo con el formato que se presenta en el respectivo Formulario 1 – Formulario del presupuesto oficial, y entregarlos en el plazo establecido en el numeral 8.1. Los precios unitarios resultantes de los análisis no podrán ser diferentes a los consignados en el Formulario 1 – Formulario del presupuesto oficial toda vez que estos últimos fueron utilizados en la evaluación de las propuestas; si se presentare alguna discrepancia, el contratista deberá ajustar el precio unitario obtenido en el análisis consignado en el formulario de la propuesta. </w:t>
      </w:r>
    </w:p>
    <w:p w14:paraId="7BD211E3" w14:textId="77777777" w:rsidR="00F962A1" w:rsidRPr="00C2765B" w:rsidRDefault="00F962A1" w:rsidP="00F962A1">
      <w:pPr>
        <w:spacing w:after="0" w:line="240" w:lineRule="auto"/>
        <w:ind w:left="709" w:right="709"/>
        <w:jc w:val="both"/>
        <w:rPr>
          <w:rFonts w:ascii="Verdana" w:eastAsia="Aptos" w:hAnsi="Verdana" w:cs="Times New Roman"/>
          <w:kern w:val="2"/>
          <w:sz w:val="21"/>
          <w:szCs w:val="21"/>
          <w:lang w:val="es-MX"/>
          <w14:ligatures w14:val="standardContextual"/>
        </w:rPr>
      </w:pPr>
    </w:p>
    <w:p w14:paraId="45053E68" w14:textId="77777777" w:rsidR="00F962A1" w:rsidRPr="00C2765B" w:rsidRDefault="00F962A1" w:rsidP="00F962A1">
      <w:pPr>
        <w:spacing w:after="0" w:line="240" w:lineRule="auto"/>
        <w:ind w:left="709" w:right="709"/>
        <w:jc w:val="both"/>
        <w:rPr>
          <w:rFonts w:ascii="Verdana" w:eastAsia="Aptos" w:hAnsi="Verdana" w:cs="Times New Roman"/>
          <w:kern w:val="2"/>
          <w:sz w:val="21"/>
          <w:szCs w:val="21"/>
          <w:lang w:val="es-MX"/>
          <w14:ligatures w14:val="standardContextual"/>
        </w:rPr>
      </w:pPr>
      <w:r w:rsidRPr="00C2765B">
        <w:rPr>
          <w:rFonts w:ascii="Verdana" w:eastAsia="Aptos" w:hAnsi="Verdana" w:cs="Times New Roman"/>
          <w:kern w:val="2"/>
          <w:sz w:val="21"/>
          <w:szCs w:val="21"/>
          <w:lang w:val="es-MX"/>
          <w14:ligatures w14:val="standardContextual"/>
        </w:rPr>
        <w:t>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en el formulario de su propuesta. El contratista acepta que los precios unitarios por él ofertados constituyen su propuesta económica autónoma.”</w:t>
      </w:r>
    </w:p>
    <w:p w14:paraId="7537E8E1" w14:textId="77777777" w:rsidR="00F962A1" w:rsidRPr="00C2765B" w:rsidRDefault="00F962A1" w:rsidP="00F962A1">
      <w:pPr>
        <w:adjustRightInd w:val="0"/>
        <w:snapToGrid w:val="0"/>
        <w:spacing w:after="0" w:line="276" w:lineRule="auto"/>
        <w:jc w:val="both"/>
        <w:rPr>
          <w:rFonts w:ascii="Verdana" w:eastAsia="Calibri" w:hAnsi="Verdana" w:cs="Arial"/>
          <w:lang w:val="es-ES" w:eastAsia="es-ES"/>
        </w:rPr>
      </w:pPr>
    </w:p>
    <w:p w14:paraId="7CEDFC6A" w14:textId="77777777" w:rsidR="00F962A1" w:rsidRPr="00C2765B" w:rsidRDefault="00F962A1" w:rsidP="00F962A1">
      <w:pPr>
        <w:numPr>
          <w:ilvl w:val="0"/>
          <w:numId w:val="31"/>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 xml:space="preserve">Conforme a lo anterior, el contratista deberá presentar el análisis de precios unitarios dentro del plazo que establezca la entidad, para lo cual tendrá en cuenta, entre otras cosas, el AIU. </w:t>
      </w:r>
    </w:p>
    <w:p w14:paraId="50F9784D" w14:textId="77777777" w:rsidR="00F962A1" w:rsidRDefault="00F962A1" w:rsidP="00F962A1">
      <w:pPr>
        <w:adjustRightInd w:val="0"/>
        <w:snapToGrid w:val="0"/>
        <w:spacing w:after="0" w:line="276" w:lineRule="auto"/>
        <w:ind w:left="720"/>
        <w:contextualSpacing/>
        <w:jc w:val="both"/>
        <w:rPr>
          <w:rFonts w:ascii="Verdana" w:eastAsia="Calibri" w:hAnsi="Verdana" w:cs="Arial"/>
          <w:lang w:val="es-ES" w:eastAsia="es-ES"/>
        </w:rPr>
      </w:pPr>
    </w:p>
    <w:p w14:paraId="0D88FD50" w14:textId="77777777" w:rsidR="00F962A1" w:rsidRDefault="00F962A1" w:rsidP="00F962A1">
      <w:pPr>
        <w:pStyle w:val="Prrafodelista"/>
        <w:numPr>
          <w:ilvl w:val="0"/>
          <w:numId w:val="31"/>
        </w:numPr>
        <w:snapToGrid w:val="0"/>
        <w:spacing w:after="0" w:line="276" w:lineRule="auto"/>
        <w:ind w:left="714" w:hanging="357"/>
        <w:contextualSpacing w:val="0"/>
        <w:jc w:val="both"/>
        <w:rPr>
          <w:rFonts w:ascii="Verdana" w:eastAsia="Calibri" w:hAnsi="Verdana" w:cs="Arial"/>
        </w:rPr>
      </w:pPr>
      <w:r>
        <w:rPr>
          <w:rFonts w:ascii="Verdana" w:eastAsia="Calibri" w:hAnsi="Verdana" w:cs="Arial"/>
        </w:rPr>
        <w:t>Al respecto, es importante resaltar que, t</w:t>
      </w:r>
      <w:r w:rsidRPr="00E464E0">
        <w:rPr>
          <w:rFonts w:ascii="Verdana" w:eastAsia="Calibri" w:hAnsi="Verdana" w:cs="Arial"/>
        </w:rPr>
        <w:t xml:space="preserve">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w:t>
      </w:r>
      <w:r w:rsidRPr="00E464E0">
        <w:rPr>
          <w:rFonts w:ascii="Verdana" w:eastAsia="Calibri" w:hAnsi="Verdana" w:cs="Arial"/>
        </w:rPr>
        <w:lastRenderedPageBreak/>
        <w:t>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r>
        <w:rPr>
          <w:rFonts w:ascii="Verdana" w:eastAsia="Calibri" w:hAnsi="Verdana" w:cs="Arial"/>
        </w:rPr>
        <w:t xml:space="preserve"> [aspectos entre corchetes y resaltados en gris –</w:t>
      </w:r>
      <w:r w:rsidRPr="00C27D67">
        <w:rPr>
          <w:rFonts w:ascii="Verdana" w:eastAsia="Calibri" w:hAnsi="Verdana" w:cs="Arial"/>
          <w:highlight w:val="lightGray"/>
        </w:rPr>
        <w:t>texto</w:t>
      </w:r>
      <w:r>
        <w:rPr>
          <w:rFonts w:ascii="Verdana" w:eastAsia="Calibri" w:hAnsi="Verdana" w:cs="Arial"/>
        </w:rPr>
        <w:t>–].</w:t>
      </w:r>
    </w:p>
    <w:p w14:paraId="5B6AA9A5" w14:textId="77777777" w:rsidR="00F962A1" w:rsidRPr="009073D7" w:rsidRDefault="00F962A1" w:rsidP="00F962A1">
      <w:pPr>
        <w:pStyle w:val="Prrafodelista"/>
        <w:rPr>
          <w:rFonts w:ascii="Verdana" w:eastAsia="Calibri" w:hAnsi="Verdana" w:cs="Arial"/>
        </w:rPr>
      </w:pPr>
    </w:p>
    <w:p w14:paraId="25FB1900" w14:textId="77777777" w:rsidR="00F962A1" w:rsidRDefault="00F962A1" w:rsidP="00F962A1">
      <w:pPr>
        <w:pStyle w:val="Prrafodelista"/>
        <w:numPr>
          <w:ilvl w:val="0"/>
          <w:numId w:val="31"/>
        </w:numPr>
        <w:snapToGrid w:val="0"/>
        <w:spacing w:after="0" w:line="276" w:lineRule="auto"/>
        <w:ind w:left="714" w:hanging="357"/>
        <w:contextualSpacing w:val="0"/>
        <w:jc w:val="both"/>
        <w:rPr>
          <w:rFonts w:ascii="Verdana" w:eastAsia="Calibri" w:hAnsi="Verdana" w:cs="Arial"/>
        </w:rPr>
      </w:pPr>
      <w:r>
        <w:rPr>
          <w:rFonts w:ascii="Verdana" w:eastAsia="Calibri" w:hAnsi="Verdana" w:cs="Arial"/>
        </w:rPr>
        <w:t>Por lo tanto, para la realización del análisis de precios unitarios –y en general para adelantar todas las etapas de los procesos de selección que se rijan por documentos tipo–, el contratista –o los proponentes o las entidades estatales– no podrá modificar aquellos aspectos que los documentos tipo no permitan de manera expresa, lo cual implica que, en el caso concreto, deberá observar lo dispuesto en el numeral 8.2 del Documento Base de los documentos tipo en comento.</w:t>
      </w:r>
    </w:p>
    <w:p w14:paraId="2CFAEAB8" w14:textId="77777777" w:rsidR="00F962A1" w:rsidRPr="009073D7" w:rsidRDefault="00F962A1" w:rsidP="00F962A1">
      <w:pPr>
        <w:pStyle w:val="Prrafodelista"/>
        <w:rPr>
          <w:rFonts w:ascii="Verdana" w:eastAsia="Calibri" w:hAnsi="Verdana" w:cs="Arial"/>
        </w:rPr>
      </w:pPr>
    </w:p>
    <w:p w14:paraId="310B66E4" w14:textId="77777777" w:rsidR="00F962A1" w:rsidRDefault="00F962A1" w:rsidP="00F962A1">
      <w:pPr>
        <w:pStyle w:val="Prrafodelista"/>
        <w:numPr>
          <w:ilvl w:val="0"/>
          <w:numId w:val="32"/>
        </w:numPr>
        <w:spacing w:before="120" w:line="276" w:lineRule="auto"/>
        <w:jc w:val="both"/>
        <w:rPr>
          <w:rFonts w:ascii="Verdana" w:eastAsia="Calibri" w:hAnsi="Verdana" w:cs="Arial"/>
        </w:rPr>
      </w:pPr>
      <w:r>
        <w:rPr>
          <w:rFonts w:ascii="Verdana" w:eastAsia="Calibri" w:hAnsi="Verdana" w:cs="Arial"/>
        </w:rPr>
        <w:t xml:space="preserve">Adicionalmente, teniendo en cuenta sus preguntas, debe precisarse que, </w:t>
      </w:r>
      <w:r w:rsidRPr="009073D7">
        <w:rPr>
          <w:rFonts w:ascii="Verdana" w:eastAsia="Calibri" w:hAnsi="Verdana" w:cs="Arial"/>
        </w:rPr>
        <w:t>los documentos tipo de infraestructura de transporte, contemplan el “Formulario 1 – Formulario de Presupuesto Oficial”, empleado por la entidad para elaborar y presentar el presupuesto oficial, mediante el cual el proponente estructura la oferta económica.</w:t>
      </w:r>
    </w:p>
    <w:p w14:paraId="1D770EB3" w14:textId="77777777" w:rsidR="00F962A1" w:rsidRDefault="00F962A1" w:rsidP="00F962A1">
      <w:pPr>
        <w:pStyle w:val="Prrafodelista"/>
        <w:spacing w:before="120" w:line="276" w:lineRule="auto"/>
        <w:jc w:val="both"/>
        <w:rPr>
          <w:rFonts w:ascii="Verdana" w:eastAsia="Calibri" w:hAnsi="Verdana" w:cs="Arial"/>
        </w:rPr>
      </w:pPr>
    </w:p>
    <w:p w14:paraId="7B7BA2A5" w14:textId="77777777" w:rsidR="00F962A1" w:rsidRDefault="00F962A1" w:rsidP="00F962A1">
      <w:pPr>
        <w:pStyle w:val="Prrafodelista"/>
        <w:numPr>
          <w:ilvl w:val="0"/>
          <w:numId w:val="32"/>
        </w:numPr>
        <w:spacing w:before="120" w:line="276" w:lineRule="auto"/>
        <w:jc w:val="both"/>
        <w:rPr>
          <w:rFonts w:ascii="Verdana" w:eastAsia="Calibri" w:hAnsi="Verdana" w:cs="Arial"/>
        </w:rPr>
      </w:pPr>
      <w:r w:rsidRPr="009073D7">
        <w:rPr>
          <w:rFonts w:ascii="Verdana" w:eastAsia="Calibri" w:hAnsi="Verdana" w:cs="Arial"/>
        </w:rPr>
        <w:t>Este formulario lo prepara la entidad en la etapa de planeación y le permite definir el valor oficial estimado del proceso de contratación. Por tanto, las entidades estatales para su elaboración deben tener en cuenta diferentes variables</w:t>
      </w:r>
      <w:r>
        <w:rPr>
          <w:rStyle w:val="Refdenotaalpie"/>
          <w:rFonts w:ascii="Verdana" w:eastAsia="Calibri" w:hAnsi="Verdana" w:cs="Arial"/>
        </w:rPr>
        <w:footnoteReference w:id="12"/>
      </w:r>
      <w:r w:rsidRPr="009073D7">
        <w:rPr>
          <w:rFonts w:ascii="Verdana" w:eastAsia="Calibri" w:hAnsi="Verdana" w:cs="Arial"/>
        </w:rPr>
        <w:t>, como el objeto, alcance, obras a ejecutar, actividades, cantidades, particularidades de la zona de ejecución del proyecto, disponibilidad y distancia de fuentes de materiales, entre otros.</w:t>
      </w:r>
    </w:p>
    <w:p w14:paraId="511B87EE" w14:textId="77777777" w:rsidR="00F962A1" w:rsidRPr="009073D7" w:rsidRDefault="00F962A1" w:rsidP="00F962A1">
      <w:pPr>
        <w:pStyle w:val="Prrafodelista"/>
        <w:rPr>
          <w:rFonts w:ascii="Verdana" w:eastAsia="Calibri" w:hAnsi="Verdana" w:cs="Arial"/>
        </w:rPr>
      </w:pPr>
    </w:p>
    <w:p w14:paraId="283A9632" w14:textId="77777777" w:rsidR="00F962A1" w:rsidRDefault="00F962A1" w:rsidP="00F962A1">
      <w:pPr>
        <w:pStyle w:val="Prrafodelista"/>
        <w:numPr>
          <w:ilvl w:val="0"/>
          <w:numId w:val="32"/>
        </w:numPr>
        <w:spacing w:before="120" w:line="276" w:lineRule="auto"/>
        <w:jc w:val="both"/>
        <w:rPr>
          <w:rFonts w:ascii="Verdana" w:eastAsia="Calibri" w:hAnsi="Verdana" w:cs="Arial"/>
        </w:rPr>
      </w:pPr>
      <w:r w:rsidRPr="009073D7">
        <w:rPr>
          <w:rFonts w:ascii="Verdana" w:eastAsia="Calibri" w:hAnsi="Verdana" w:cs="Arial"/>
        </w:rPr>
        <w:t xml:space="preserve">En los documentos tipo de obra de infraestructura de transporte, el “Formulario 1 – Presupuesto Oficial” tiene dos connotaciones: i) por un lado, es el formulario sobre el cual la entidad estructura y presenta el presupuesto oficial del procedimiento de contratación; y </w:t>
      </w:r>
      <w:proofErr w:type="spellStart"/>
      <w:r w:rsidRPr="009073D7">
        <w:rPr>
          <w:rFonts w:ascii="Verdana" w:eastAsia="Calibri" w:hAnsi="Verdana" w:cs="Arial"/>
        </w:rPr>
        <w:t>ii</w:t>
      </w:r>
      <w:proofErr w:type="spellEnd"/>
      <w:r w:rsidRPr="009073D7">
        <w:rPr>
          <w:rFonts w:ascii="Verdana" w:eastAsia="Calibri" w:hAnsi="Verdana" w:cs="Arial"/>
        </w:rPr>
        <w:t>) por el otro, es el formulario sobre el cual los proponentes elaboran y presentan su oferta económica. Específicamente, frente a la propuesta económica, el documento base señala que la misma se debe elaborar a partir del “Formulario 1 –</w:t>
      </w:r>
      <w:r>
        <w:rPr>
          <w:rFonts w:ascii="Verdana" w:eastAsia="Calibri" w:hAnsi="Verdana" w:cs="Arial"/>
        </w:rPr>
        <w:t xml:space="preserve"> </w:t>
      </w:r>
      <w:r w:rsidRPr="009073D7">
        <w:rPr>
          <w:rFonts w:ascii="Verdana" w:eastAsia="Calibri" w:hAnsi="Verdana" w:cs="Arial"/>
        </w:rPr>
        <w:t xml:space="preserve">Presupuesto Oficial” y la presentación debe hacerse con sujeción a lo dispuesto en los numerales “2.3. ELABORACIÓN Y </w:t>
      </w:r>
      <w:r w:rsidRPr="009073D7">
        <w:rPr>
          <w:rFonts w:ascii="Verdana" w:eastAsia="Calibri" w:hAnsi="Verdana" w:cs="Arial"/>
        </w:rPr>
        <w:lastRenderedPageBreak/>
        <w:t>PRESENTACIÓN DE LA OFERTA” y “ 4.1. OFERTA ECONÓMICA” del referido documento base. El propósito de esto es evitar la duplicidad de información y permitir que las propuestas económicas sean evaluadas con las variables, cantidades, unidades de medida y reglas consideradas por la entidad al estructurar su presupuesto oficial.</w:t>
      </w:r>
    </w:p>
    <w:p w14:paraId="6AA0C2BF" w14:textId="77777777" w:rsidR="00F962A1" w:rsidRPr="009073D7" w:rsidRDefault="00F962A1" w:rsidP="00F962A1">
      <w:pPr>
        <w:pStyle w:val="Prrafodelista"/>
        <w:rPr>
          <w:rFonts w:ascii="Verdana" w:eastAsia="Calibri" w:hAnsi="Verdana" w:cs="Arial"/>
        </w:rPr>
      </w:pPr>
    </w:p>
    <w:p w14:paraId="345BF746" w14:textId="77777777" w:rsidR="00F962A1" w:rsidRDefault="00F962A1" w:rsidP="00F962A1">
      <w:pPr>
        <w:pStyle w:val="Prrafodelista"/>
        <w:numPr>
          <w:ilvl w:val="0"/>
          <w:numId w:val="32"/>
        </w:numPr>
        <w:spacing w:before="120" w:line="276" w:lineRule="auto"/>
        <w:jc w:val="both"/>
        <w:rPr>
          <w:rFonts w:ascii="Verdana" w:eastAsia="Calibri" w:hAnsi="Verdana" w:cs="Arial"/>
        </w:rPr>
      </w:pPr>
      <w:r w:rsidRPr="009073D7">
        <w:rPr>
          <w:rFonts w:ascii="Verdana" w:eastAsia="Calibri" w:hAnsi="Verdana" w:cs="Arial"/>
        </w:rPr>
        <w:t xml:space="preserve">En ese contexto, se tiene que, en la primera hoja del Formulario 1 – presupuesto oficial, que corresponde al presupuesto oficial, la entidad debe enlistar los ítems de pago de los bienes, obras o servicios que se requieren para la ejecución de la obra pública de infraestructura de transporte. Además, es posible establecer: i) sus especificaciones generales y particulares, </w:t>
      </w:r>
      <w:proofErr w:type="spellStart"/>
      <w:r w:rsidRPr="009073D7">
        <w:rPr>
          <w:rFonts w:ascii="Verdana" w:eastAsia="Calibri" w:hAnsi="Verdana" w:cs="Arial"/>
        </w:rPr>
        <w:t>ii</w:t>
      </w:r>
      <w:proofErr w:type="spellEnd"/>
      <w:r w:rsidRPr="009073D7">
        <w:rPr>
          <w:rFonts w:ascii="Verdana" w:eastAsia="Calibri" w:hAnsi="Verdana" w:cs="Arial"/>
        </w:rPr>
        <w:t xml:space="preserve">) la descripción, </w:t>
      </w:r>
      <w:proofErr w:type="spellStart"/>
      <w:r w:rsidRPr="009073D7">
        <w:rPr>
          <w:rFonts w:ascii="Verdana" w:eastAsia="Calibri" w:hAnsi="Verdana" w:cs="Arial"/>
        </w:rPr>
        <w:t>iii</w:t>
      </w:r>
      <w:proofErr w:type="spellEnd"/>
      <w:r w:rsidRPr="009073D7">
        <w:rPr>
          <w:rFonts w:ascii="Verdana" w:eastAsia="Calibri" w:hAnsi="Verdana" w:cs="Arial"/>
        </w:rPr>
        <w:t xml:space="preserve">) la unidad de medida, </w:t>
      </w:r>
      <w:proofErr w:type="spellStart"/>
      <w:r w:rsidRPr="009073D7">
        <w:rPr>
          <w:rFonts w:ascii="Verdana" w:eastAsia="Calibri" w:hAnsi="Verdana" w:cs="Arial"/>
        </w:rPr>
        <w:t>iv</w:t>
      </w:r>
      <w:proofErr w:type="spellEnd"/>
      <w:r w:rsidRPr="009073D7">
        <w:rPr>
          <w:rFonts w:ascii="Verdana" w:eastAsia="Calibri" w:hAnsi="Verdana" w:cs="Arial"/>
        </w:rPr>
        <w:t>) la cantidad, v) el valor unitario y vi) el valor total de los ítems.</w:t>
      </w:r>
    </w:p>
    <w:p w14:paraId="472A02C2" w14:textId="77777777" w:rsidR="00F962A1" w:rsidRPr="009073D7" w:rsidRDefault="00F962A1" w:rsidP="00F962A1">
      <w:pPr>
        <w:pStyle w:val="Prrafodelista"/>
        <w:rPr>
          <w:rFonts w:ascii="Verdana" w:eastAsia="Calibri" w:hAnsi="Verdana" w:cs="Arial"/>
        </w:rPr>
      </w:pPr>
    </w:p>
    <w:p w14:paraId="31B8AD83" w14:textId="77777777" w:rsidR="00F962A1" w:rsidRDefault="00F962A1" w:rsidP="00F962A1">
      <w:pPr>
        <w:pStyle w:val="Prrafodelista"/>
        <w:numPr>
          <w:ilvl w:val="0"/>
          <w:numId w:val="32"/>
        </w:numPr>
        <w:spacing w:before="120" w:line="276" w:lineRule="auto"/>
        <w:jc w:val="both"/>
        <w:rPr>
          <w:rFonts w:ascii="Verdana" w:eastAsia="Calibri" w:hAnsi="Verdana" w:cs="Arial"/>
        </w:rPr>
      </w:pPr>
      <w:r w:rsidRPr="009073D7">
        <w:rPr>
          <w:rFonts w:ascii="Verdana" w:eastAsia="Calibri" w:hAnsi="Verdana" w:cs="Arial"/>
        </w:rPr>
        <w:t xml:space="preserve">De otra parte, en los documentos tipo para procesos de licitación pública de obras de infraestructura de transporte, el “Formulario 1” en su segunda pestaña en Excel, titulada “Formulario 1 propuesta económica” señala en la parte superior derecha: </w:t>
      </w:r>
      <w:r w:rsidRPr="009073D7">
        <w:rPr>
          <w:rFonts w:ascii="Verdana" w:eastAsia="Calibri" w:hAnsi="Verdana" w:cs="Arial"/>
          <w:i/>
          <w:iCs/>
        </w:rPr>
        <w:t xml:space="preserve">“[La entidad puede utilizar este formulario de presentación de </w:t>
      </w:r>
      <w:r w:rsidRPr="009073D7">
        <w:rPr>
          <w:rFonts w:ascii="Verdana" w:eastAsia="Calibri" w:hAnsi="Verdana" w:cs="Arial"/>
          <w:b/>
          <w:bCs/>
          <w:i/>
          <w:iCs/>
        </w:rPr>
        <w:t>propuesta económica</w:t>
      </w:r>
      <w:r w:rsidRPr="009073D7">
        <w:rPr>
          <w:rFonts w:ascii="Verdana" w:eastAsia="Calibri" w:hAnsi="Verdana" w:cs="Arial"/>
          <w:i/>
          <w:iCs/>
        </w:rPr>
        <w:t xml:space="preserve"> de forma detallada, sin perjuicio que la entidad pueda modificarlo o establecer la presentación de la oferta económica con un formulario distinto al indicado.]”</w:t>
      </w:r>
      <w:r w:rsidRPr="009073D7">
        <w:rPr>
          <w:rFonts w:ascii="Verdana" w:eastAsia="Calibri" w:hAnsi="Verdana" w:cs="Arial"/>
        </w:rPr>
        <w:t xml:space="preserve">. Igualmente, se indica que los proponentes emplearán el formulario establecido por la entidad para determinar su propuesta económica conforme al Formulario 1 </w:t>
      </w:r>
      <w:r>
        <w:rPr>
          <w:rFonts w:ascii="Verdana" w:eastAsia="Calibri" w:hAnsi="Verdana" w:cs="Arial"/>
        </w:rPr>
        <w:t xml:space="preserve">– </w:t>
      </w:r>
      <w:r w:rsidRPr="009073D7">
        <w:rPr>
          <w:rFonts w:ascii="Verdana" w:eastAsia="Calibri" w:hAnsi="Verdana" w:cs="Arial"/>
        </w:rPr>
        <w:t>Presupuesto Oficial publicado por la Entidad. Esto significa que las entidades pueden diseñar un formulario para que los proponentes presenten su oferta económica, sin que sea obligatorio sujetarse al formulario que los documentos tipo proponen para el efecto.</w:t>
      </w:r>
    </w:p>
    <w:p w14:paraId="14E536AF" w14:textId="77777777" w:rsidR="00F962A1" w:rsidRPr="009073D7" w:rsidRDefault="00F962A1" w:rsidP="00F962A1">
      <w:pPr>
        <w:pStyle w:val="Prrafodelista"/>
        <w:rPr>
          <w:rFonts w:ascii="Verdana" w:eastAsia="Calibri" w:hAnsi="Verdana" w:cs="Arial"/>
        </w:rPr>
      </w:pPr>
    </w:p>
    <w:p w14:paraId="386FA4FA" w14:textId="77777777" w:rsidR="00F962A1" w:rsidRDefault="00F962A1" w:rsidP="00F962A1">
      <w:pPr>
        <w:pStyle w:val="Prrafodelista"/>
        <w:numPr>
          <w:ilvl w:val="0"/>
          <w:numId w:val="32"/>
        </w:numPr>
        <w:spacing w:before="120" w:line="276" w:lineRule="auto"/>
        <w:jc w:val="both"/>
        <w:rPr>
          <w:rFonts w:ascii="Verdana" w:eastAsia="Calibri" w:hAnsi="Verdana" w:cs="Arial"/>
        </w:rPr>
      </w:pPr>
      <w:r w:rsidRPr="009073D7">
        <w:rPr>
          <w:rFonts w:ascii="Verdana" w:eastAsia="Calibri" w:hAnsi="Verdana" w:cs="Arial"/>
        </w:rPr>
        <w:t>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determinado por la entidad, sea el que configure de acuerdo con el Formulario 1 o aquel que disponga sobre el particular.</w:t>
      </w:r>
    </w:p>
    <w:p w14:paraId="2E18D6A6" w14:textId="77777777" w:rsidR="00F962A1" w:rsidRPr="009073D7" w:rsidRDefault="00F962A1" w:rsidP="00F962A1">
      <w:pPr>
        <w:pStyle w:val="Prrafodelista"/>
        <w:rPr>
          <w:rFonts w:ascii="Verdana" w:eastAsia="Calibri" w:hAnsi="Verdana" w:cs="Arial"/>
        </w:rPr>
      </w:pPr>
    </w:p>
    <w:p w14:paraId="09EF7141" w14:textId="77777777" w:rsidR="00F962A1" w:rsidRDefault="00F962A1" w:rsidP="00F962A1">
      <w:pPr>
        <w:pStyle w:val="Prrafodelista"/>
        <w:numPr>
          <w:ilvl w:val="0"/>
          <w:numId w:val="32"/>
        </w:numPr>
        <w:spacing w:before="120" w:line="276" w:lineRule="auto"/>
        <w:jc w:val="both"/>
        <w:rPr>
          <w:rFonts w:ascii="Verdana" w:eastAsia="Calibri" w:hAnsi="Verdana" w:cs="Arial"/>
        </w:rPr>
      </w:pPr>
      <w:r w:rsidRPr="009073D7">
        <w:rPr>
          <w:rFonts w:ascii="Verdana" w:eastAsia="Calibri" w:hAnsi="Verdana" w:cs="Arial"/>
        </w:rPr>
        <w:lastRenderedPageBreak/>
        <w:t xml:space="preserve">Respecto a la forma de pago, tanto el numeral 4.1 del </w:t>
      </w:r>
      <w:r>
        <w:rPr>
          <w:rFonts w:ascii="Verdana" w:eastAsia="Calibri" w:hAnsi="Verdana" w:cs="Arial"/>
        </w:rPr>
        <w:t>D</w:t>
      </w:r>
      <w:r w:rsidRPr="009073D7">
        <w:rPr>
          <w:rFonts w:ascii="Verdana" w:eastAsia="Calibri" w:hAnsi="Verdana" w:cs="Arial"/>
        </w:rPr>
        <w:t xml:space="preserve">ocumento </w:t>
      </w:r>
      <w:r>
        <w:rPr>
          <w:rFonts w:ascii="Verdana" w:eastAsia="Calibri" w:hAnsi="Verdana" w:cs="Arial"/>
        </w:rPr>
        <w:t>B</w:t>
      </w:r>
      <w:r w:rsidRPr="009073D7">
        <w:rPr>
          <w:rFonts w:ascii="Verdana" w:eastAsia="Calibri" w:hAnsi="Verdana" w:cs="Arial"/>
        </w:rPr>
        <w:t xml:space="preserve">ase como el Anexo 5 </w:t>
      </w:r>
      <w:r>
        <w:rPr>
          <w:rFonts w:ascii="Verdana" w:eastAsia="Calibri" w:hAnsi="Verdana" w:cs="Arial"/>
        </w:rPr>
        <w:t xml:space="preserve">– </w:t>
      </w:r>
      <w:r w:rsidRPr="009073D7">
        <w:rPr>
          <w:rFonts w:ascii="Verdana" w:eastAsia="Calibri" w:hAnsi="Verdana" w:cs="Arial"/>
        </w:rPr>
        <w:t>Minuta</w:t>
      </w:r>
      <w:r>
        <w:rPr>
          <w:rFonts w:ascii="Verdana" w:eastAsia="Calibri" w:hAnsi="Verdana" w:cs="Arial"/>
        </w:rPr>
        <w:t xml:space="preserve"> del Contrato</w:t>
      </w:r>
      <w:r w:rsidRPr="009073D7">
        <w:rPr>
          <w:rFonts w:ascii="Verdana" w:eastAsia="Calibri" w:hAnsi="Verdana" w:cs="Arial"/>
        </w:rPr>
        <w:t xml:space="preserve"> establecen que durante la etapa de planeación la Entidad será la encargada de configurar la forma de pago más conveniente de acuerdo con las características del contrato: </w:t>
      </w:r>
    </w:p>
    <w:p w14:paraId="41D88103" w14:textId="77777777" w:rsidR="00F962A1" w:rsidRPr="009073D7" w:rsidRDefault="00F962A1" w:rsidP="00F962A1">
      <w:pPr>
        <w:pStyle w:val="Prrafodelista"/>
        <w:rPr>
          <w:rFonts w:ascii="Verdana" w:eastAsia="Calibri" w:hAnsi="Verdana" w:cs="Arial"/>
        </w:rPr>
      </w:pPr>
    </w:p>
    <w:p w14:paraId="29DA24FC" w14:textId="77777777" w:rsidR="00F962A1" w:rsidRPr="009073D7" w:rsidRDefault="00F962A1" w:rsidP="00F962A1">
      <w:pPr>
        <w:pStyle w:val="Prrafodelista"/>
        <w:snapToGrid w:val="0"/>
        <w:spacing w:after="0" w:line="240" w:lineRule="auto"/>
        <w:ind w:left="709" w:right="709"/>
        <w:contextualSpacing w:val="0"/>
        <w:jc w:val="both"/>
        <w:rPr>
          <w:rFonts w:ascii="Verdana" w:hAnsi="Verdana"/>
          <w:sz w:val="21"/>
          <w:szCs w:val="21"/>
          <w:lang w:val="es-MX"/>
        </w:rPr>
      </w:pPr>
      <w:r w:rsidRPr="009073D7">
        <w:rPr>
          <w:rFonts w:ascii="Verdana" w:hAnsi="Verdana"/>
          <w:sz w:val="21"/>
          <w:szCs w:val="21"/>
          <w:highlight w:val="lightGray"/>
          <w:lang w:val="es-MX"/>
        </w:rPr>
        <w:t>“[La entidad debe indicar si la forma de pago es por precio global, llave en mano, precios unitarios, administración delegada o reembolso de gastos. El Anexo 1 – Anexo Técnico y el Formulario 1– Formulario de Presupuesto Oficial debe ser concordante con la modalidad de pago seleccionada]”</w:t>
      </w:r>
      <w:r w:rsidRPr="009073D7">
        <w:rPr>
          <w:rFonts w:ascii="Verdana" w:hAnsi="Verdana"/>
          <w:sz w:val="21"/>
          <w:szCs w:val="21"/>
          <w:lang w:val="es-MX"/>
        </w:rPr>
        <w:t xml:space="preserve"> [Documento Base]</w:t>
      </w:r>
    </w:p>
    <w:p w14:paraId="30C9A9AB" w14:textId="77777777" w:rsidR="00F962A1" w:rsidRPr="009073D7" w:rsidRDefault="00F962A1" w:rsidP="00F962A1">
      <w:pPr>
        <w:pStyle w:val="Prrafodelista"/>
        <w:snapToGrid w:val="0"/>
        <w:spacing w:after="0" w:line="240" w:lineRule="auto"/>
        <w:ind w:left="709" w:right="709"/>
        <w:contextualSpacing w:val="0"/>
        <w:jc w:val="both"/>
        <w:rPr>
          <w:rFonts w:ascii="Verdana" w:hAnsi="Verdana"/>
          <w:sz w:val="21"/>
          <w:szCs w:val="21"/>
          <w:lang w:val="es-MX"/>
        </w:rPr>
      </w:pPr>
      <w:r w:rsidRPr="009073D7">
        <w:rPr>
          <w:rFonts w:ascii="Verdana" w:hAnsi="Verdana"/>
          <w:sz w:val="21"/>
          <w:szCs w:val="21"/>
          <w:lang w:val="es-MX"/>
        </w:rPr>
        <w:t>[…]</w:t>
      </w:r>
    </w:p>
    <w:p w14:paraId="437EE1F5" w14:textId="77777777" w:rsidR="00F962A1" w:rsidRPr="009073D7" w:rsidRDefault="00F962A1" w:rsidP="00F962A1">
      <w:pPr>
        <w:snapToGrid w:val="0"/>
        <w:spacing w:after="0" w:line="240" w:lineRule="auto"/>
        <w:ind w:left="709" w:right="709"/>
        <w:jc w:val="both"/>
        <w:rPr>
          <w:rFonts w:ascii="Verdana" w:hAnsi="Verdana"/>
          <w:sz w:val="21"/>
          <w:szCs w:val="21"/>
        </w:rPr>
      </w:pPr>
      <w:r>
        <w:rPr>
          <w:rFonts w:ascii="Verdana" w:hAnsi="Verdana"/>
          <w:sz w:val="21"/>
          <w:szCs w:val="21"/>
          <w:highlight w:val="lightGray"/>
        </w:rPr>
        <w:t>“</w:t>
      </w:r>
      <w:r w:rsidRPr="009073D7">
        <w:rPr>
          <w:rFonts w:ascii="Verdana" w:hAnsi="Verdana"/>
          <w:sz w:val="21"/>
          <w:szCs w:val="21"/>
          <w:highlight w:val="lightGray"/>
        </w:rPr>
        <w:t>[La Entidad podrá escoger alguna de las siguientes formas de pago o configurar la que considere conveniente para cancelar el valor del contrato al Contratista. En todo caso, esta cláusula debe incluir todos los documentos y plazos necesarios para el pago, incluyendo el pago anticipado del contrato, en caso de que se haya pactado]</w:t>
      </w:r>
      <w:r>
        <w:rPr>
          <w:rFonts w:ascii="Verdana" w:hAnsi="Verdana"/>
          <w:sz w:val="21"/>
          <w:szCs w:val="21"/>
        </w:rPr>
        <w:t>”</w:t>
      </w:r>
      <w:r w:rsidRPr="009073D7">
        <w:rPr>
          <w:rFonts w:ascii="Verdana" w:hAnsi="Verdana"/>
          <w:sz w:val="21"/>
          <w:szCs w:val="21"/>
        </w:rPr>
        <w:t xml:space="preserve"> [Anexo 5 – Minuta]</w:t>
      </w:r>
    </w:p>
    <w:p w14:paraId="75AF4FDD" w14:textId="77777777" w:rsidR="00F962A1" w:rsidRDefault="00F962A1" w:rsidP="00F962A1">
      <w:pPr>
        <w:adjustRightInd w:val="0"/>
        <w:snapToGrid w:val="0"/>
        <w:spacing w:after="0" w:line="276" w:lineRule="auto"/>
        <w:jc w:val="both"/>
        <w:rPr>
          <w:rFonts w:ascii="Verdana" w:eastAsia="Calibri" w:hAnsi="Verdana" w:cs="Arial"/>
        </w:rPr>
      </w:pPr>
    </w:p>
    <w:p w14:paraId="6197C5A6" w14:textId="77777777" w:rsidR="00F962A1" w:rsidRDefault="00F962A1" w:rsidP="00F962A1">
      <w:pPr>
        <w:pStyle w:val="Prrafodelista"/>
        <w:numPr>
          <w:ilvl w:val="0"/>
          <w:numId w:val="33"/>
        </w:numPr>
        <w:snapToGrid w:val="0"/>
        <w:spacing w:after="0" w:line="276" w:lineRule="auto"/>
        <w:ind w:left="714" w:hanging="357"/>
        <w:contextualSpacing w:val="0"/>
        <w:jc w:val="both"/>
        <w:rPr>
          <w:rFonts w:ascii="Verdana" w:hAnsi="Verdana"/>
          <w:lang w:eastAsia="es-ES"/>
        </w:rPr>
      </w:pPr>
      <w:r>
        <w:rPr>
          <w:rFonts w:ascii="Verdana" w:hAnsi="Verdana"/>
          <w:lang w:eastAsia="es-ES"/>
        </w:rPr>
        <w:t xml:space="preserve">El proponente debe expresar el valor del AIU en un porcentaje (%) y debe consignarlo y discriminarlo en la propuesta económica. De esta manera, cuando existan discrepancias relacionadas con el AIU, la entidad deberá evaluar si es aplicable alguna de las causales de rechazo del numeral 1.15 del Documento Base, como por ejemplo, las de los literales “R” y “S”, en los términos explicados en párrafos precedentes de este concepto. </w:t>
      </w:r>
    </w:p>
    <w:p w14:paraId="16864E98" w14:textId="77777777" w:rsidR="00F962A1" w:rsidRPr="009073D7" w:rsidRDefault="00F962A1" w:rsidP="00F962A1">
      <w:pPr>
        <w:pStyle w:val="Prrafodelista"/>
        <w:snapToGrid w:val="0"/>
        <w:spacing w:after="0" w:line="276" w:lineRule="auto"/>
        <w:ind w:left="714"/>
        <w:contextualSpacing w:val="0"/>
        <w:jc w:val="both"/>
        <w:rPr>
          <w:rFonts w:ascii="Verdana" w:hAnsi="Verdana"/>
          <w:lang w:eastAsia="es-ES"/>
        </w:rPr>
      </w:pPr>
    </w:p>
    <w:p w14:paraId="3981D62A"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Al margen de la explicación precedente, debe advertirse que el análisis requerido para resolver problemas específicos en torno al AIU y APU debe ser realizado por quienes tengan interés en ello.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y, en caso de conflicto, a las autoridades judiciales, fiscales y disciplinarias.</w:t>
      </w:r>
    </w:p>
    <w:p w14:paraId="4501E4E5" w14:textId="77777777" w:rsidR="00F962A1" w:rsidRPr="00C2765B" w:rsidRDefault="00F962A1" w:rsidP="00F962A1">
      <w:pPr>
        <w:adjustRightInd w:val="0"/>
        <w:snapToGrid w:val="0"/>
        <w:spacing w:after="0" w:line="276" w:lineRule="auto"/>
        <w:ind w:left="714" w:hanging="357"/>
        <w:rPr>
          <w:rFonts w:ascii="Verdana" w:eastAsia="Calibri" w:hAnsi="Verdana" w:cs="Arial"/>
          <w:lang w:val="es-ES" w:eastAsia="es-ES"/>
        </w:rPr>
      </w:pPr>
    </w:p>
    <w:p w14:paraId="74B704A6" w14:textId="77777777" w:rsidR="00F962A1" w:rsidRPr="00C2765B" w:rsidRDefault="00F962A1" w:rsidP="00F962A1">
      <w:pPr>
        <w:numPr>
          <w:ilvl w:val="0"/>
          <w:numId w:val="26"/>
        </w:numPr>
        <w:adjustRightInd w:val="0"/>
        <w:snapToGrid w:val="0"/>
        <w:spacing w:after="0" w:line="276" w:lineRule="auto"/>
        <w:ind w:left="714" w:hanging="357"/>
        <w:jc w:val="both"/>
        <w:rPr>
          <w:rFonts w:ascii="Verdana" w:eastAsia="Calibri" w:hAnsi="Verdana" w:cs="Arial"/>
          <w:lang w:val="es-ES" w:eastAsia="es-ES"/>
        </w:rPr>
      </w:pPr>
      <w:r w:rsidRPr="00C2765B">
        <w:rPr>
          <w:rFonts w:ascii="Verdana" w:eastAsia="Calibri" w:hAnsi="Verdana" w:cs="Arial"/>
          <w:lang w:val="es-ES" w:eastAsia="es-ES"/>
        </w:rPr>
        <w:t xml:space="preserve">Dentro de este marco, la entidad contratante definirá en cada caso concreto lo relacionado con el tema objeto de consulta. Al tratarse de un análisis que debe realizarse en el procedimiento contractual específico, la Agencia no puede definir un criterio universal y absoluto por vía consultiva, sino que brinda elementos de carácter general para que los </w:t>
      </w:r>
      <w:r w:rsidRPr="00C2765B">
        <w:rPr>
          <w:rFonts w:ascii="Verdana" w:eastAsia="Calibri" w:hAnsi="Verdana" w:cs="Arial"/>
          <w:lang w:val="es-ES" w:eastAsia="es-ES"/>
        </w:rPr>
        <w:lastRenderedPageBreak/>
        <w:t>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2C3A3DE1" w14:textId="77777777" w:rsidR="00195A45" w:rsidRDefault="00195A45" w:rsidP="00195A45">
      <w:pPr>
        <w:spacing w:after="0" w:line="276" w:lineRule="auto"/>
        <w:jc w:val="both"/>
        <w:rPr>
          <w:rFonts w:ascii="Verdana" w:eastAsia="Calibri" w:hAnsi="Verdana" w:cs="Arial"/>
          <w:lang w:val="es-ES"/>
        </w:rPr>
      </w:pPr>
    </w:p>
    <w:p w14:paraId="5164B807" w14:textId="77777777" w:rsidR="00195A45" w:rsidRPr="006C7E16" w:rsidRDefault="00195A45" w:rsidP="00195A4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Referencias normativas, jurisprudenciales y otras fuentes:</w:t>
      </w:r>
    </w:p>
    <w:p w14:paraId="1FF4D5D6" w14:textId="77777777" w:rsidR="00195A45" w:rsidRPr="006C7E16" w:rsidRDefault="00195A45" w:rsidP="00195A45">
      <w:pPr>
        <w:widowControl w:val="0"/>
        <w:autoSpaceDE w:val="0"/>
        <w:autoSpaceDN w:val="0"/>
        <w:spacing w:after="0" w:line="276" w:lineRule="auto"/>
        <w:jc w:val="both"/>
        <w:rPr>
          <w:rFonts w:ascii="Century Gothic" w:eastAsia="Times New Roman"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95A45" w:rsidRPr="006C7E16" w14:paraId="4D89708A" w14:textId="77777777" w:rsidTr="00162A72">
        <w:trPr>
          <w:trHeight w:val="870"/>
        </w:trPr>
        <w:tc>
          <w:tcPr>
            <w:tcW w:w="8647" w:type="dxa"/>
          </w:tcPr>
          <w:p w14:paraId="0EBC3ECC" w14:textId="77777777" w:rsidR="00236E89" w:rsidRPr="00C2765B" w:rsidRDefault="00236E89" w:rsidP="00236E89">
            <w:pPr>
              <w:widowControl w:val="0"/>
              <w:numPr>
                <w:ilvl w:val="0"/>
                <w:numId w:val="34"/>
              </w:numPr>
              <w:autoSpaceDE w:val="0"/>
              <w:autoSpaceDN w:val="0"/>
              <w:spacing w:after="120" w:line="276" w:lineRule="auto"/>
              <w:ind w:left="714" w:hanging="357"/>
              <w:jc w:val="both"/>
              <w:rPr>
                <w:rFonts w:ascii="Verdana" w:eastAsia="Calibri" w:hAnsi="Verdana" w:cs="Arial"/>
                <w:lang w:eastAsia="es-MX"/>
              </w:rPr>
            </w:pPr>
            <w:r w:rsidRPr="00C2765B">
              <w:rPr>
                <w:rFonts w:ascii="Verdana" w:eastAsia="Calibri" w:hAnsi="Verdana" w:cs="Arial"/>
                <w:lang w:eastAsia="es-MX"/>
              </w:rPr>
              <w:t xml:space="preserve">Ley 2022 de 2020, artículo 1. </w:t>
            </w:r>
          </w:p>
          <w:p w14:paraId="66C1D998" w14:textId="77777777" w:rsidR="00236E89" w:rsidRPr="00C2765B" w:rsidRDefault="00236E89" w:rsidP="00236E89">
            <w:pPr>
              <w:widowControl w:val="0"/>
              <w:numPr>
                <w:ilvl w:val="0"/>
                <w:numId w:val="34"/>
              </w:numPr>
              <w:autoSpaceDE w:val="0"/>
              <w:autoSpaceDN w:val="0"/>
              <w:spacing w:after="120" w:line="276" w:lineRule="auto"/>
              <w:jc w:val="both"/>
              <w:rPr>
                <w:rFonts w:ascii="Verdana" w:eastAsia="Aptos" w:hAnsi="Verdana" w:cs="Arial"/>
                <w:lang w:val="es-ES_tradnl"/>
              </w:rPr>
            </w:pPr>
            <w:r w:rsidRPr="00C2765B">
              <w:rPr>
                <w:rFonts w:ascii="Verdana" w:eastAsia="Aptos" w:hAnsi="Verdana" w:cs="Arial"/>
                <w:lang w:val="es-ES_tradnl"/>
              </w:rPr>
              <w:t xml:space="preserve">Ley 80 de 1993, artículos 13, 32 y 40.  </w:t>
            </w:r>
          </w:p>
          <w:p w14:paraId="35C592FB" w14:textId="77777777" w:rsidR="00236E89" w:rsidRPr="00C2765B" w:rsidRDefault="00236E89" w:rsidP="00236E89">
            <w:pPr>
              <w:widowControl w:val="0"/>
              <w:numPr>
                <w:ilvl w:val="0"/>
                <w:numId w:val="34"/>
              </w:numPr>
              <w:autoSpaceDE w:val="0"/>
              <w:autoSpaceDN w:val="0"/>
              <w:spacing w:after="120" w:line="276" w:lineRule="auto"/>
              <w:jc w:val="both"/>
              <w:rPr>
                <w:rFonts w:ascii="Verdana" w:eastAsia="Aptos" w:hAnsi="Verdana" w:cs="Arial"/>
                <w:lang w:val="es-ES"/>
              </w:rPr>
            </w:pPr>
            <w:r w:rsidRPr="2CE7FEC5">
              <w:rPr>
                <w:rFonts w:ascii="Verdana" w:eastAsia="Calibri" w:hAnsi="Verdana" w:cs="Arial"/>
                <w:color w:val="000000" w:themeColor="text1"/>
                <w:lang w:val="es-ES"/>
              </w:rPr>
              <w:t xml:space="preserve">CONSEJO DE ESTADO. Sección Tercera. Subsección B. Sentencia del 29 de febrero de 2012. </w:t>
            </w:r>
            <w:proofErr w:type="spellStart"/>
            <w:r w:rsidRPr="2CE7FEC5">
              <w:rPr>
                <w:rFonts w:ascii="Verdana" w:eastAsia="Calibri" w:hAnsi="Verdana" w:cs="Arial"/>
                <w:color w:val="000000" w:themeColor="text1"/>
                <w:lang w:val="es-ES"/>
              </w:rPr>
              <w:t>Exp</w:t>
            </w:r>
            <w:proofErr w:type="spellEnd"/>
            <w:r w:rsidRPr="2CE7FEC5">
              <w:rPr>
                <w:rFonts w:ascii="Verdana" w:eastAsia="Calibri" w:hAnsi="Verdana" w:cs="Arial"/>
                <w:color w:val="000000" w:themeColor="text1"/>
                <w:lang w:val="es-ES"/>
              </w:rPr>
              <w:t xml:space="preserve">. 16371, C.P. Danilo Rojas </w:t>
            </w:r>
            <w:proofErr w:type="spellStart"/>
            <w:r w:rsidRPr="2CE7FEC5">
              <w:rPr>
                <w:rFonts w:ascii="Verdana" w:eastAsia="Calibri" w:hAnsi="Verdana" w:cs="Arial"/>
                <w:color w:val="000000" w:themeColor="text1"/>
                <w:lang w:val="es-ES"/>
              </w:rPr>
              <w:t>Betancourth</w:t>
            </w:r>
            <w:proofErr w:type="spellEnd"/>
            <w:r w:rsidRPr="2CE7FEC5">
              <w:rPr>
                <w:rFonts w:ascii="Verdana" w:eastAsia="Calibri" w:hAnsi="Verdana" w:cs="Arial"/>
                <w:color w:val="000000" w:themeColor="text1"/>
                <w:lang w:val="es-ES"/>
              </w:rPr>
              <w:t>.</w:t>
            </w:r>
          </w:p>
          <w:p w14:paraId="77A47D33" w14:textId="77777777" w:rsidR="00236E89" w:rsidRPr="00C2765B" w:rsidRDefault="00236E89" w:rsidP="00236E89">
            <w:pPr>
              <w:widowControl w:val="0"/>
              <w:numPr>
                <w:ilvl w:val="0"/>
                <w:numId w:val="34"/>
              </w:numPr>
              <w:autoSpaceDE w:val="0"/>
              <w:autoSpaceDN w:val="0"/>
              <w:spacing w:after="120" w:line="276" w:lineRule="auto"/>
              <w:jc w:val="both"/>
              <w:rPr>
                <w:rFonts w:ascii="Verdana" w:eastAsia="Aptos" w:hAnsi="Verdana" w:cs="Arial"/>
                <w:lang w:val="es-ES"/>
              </w:rPr>
            </w:pPr>
            <w:r w:rsidRPr="2CE7FEC5">
              <w:rPr>
                <w:rFonts w:ascii="Verdana" w:eastAsia="Aptos" w:hAnsi="Verdana" w:cs="Arial"/>
                <w:lang w:val="es-ES"/>
              </w:rPr>
              <w:t xml:space="preserve">CONSEJO DE ESTADO. Sección Tercera. Subsección B. Sentencia del 14 de octubre de 2011. </w:t>
            </w:r>
            <w:proofErr w:type="spellStart"/>
            <w:r w:rsidRPr="2CE7FEC5">
              <w:rPr>
                <w:rFonts w:ascii="Verdana" w:eastAsia="Aptos" w:hAnsi="Verdana" w:cs="Arial"/>
                <w:lang w:val="es-ES"/>
              </w:rPr>
              <w:t>Exp</w:t>
            </w:r>
            <w:proofErr w:type="spellEnd"/>
            <w:r w:rsidRPr="2CE7FEC5">
              <w:rPr>
                <w:rFonts w:ascii="Verdana" w:eastAsia="Aptos" w:hAnsi="Verdana" w:cs="Arial"/>
                <w:lang w:val="es-ES"/>
              </w:rPr>
              <w:t>. 20811, C.P. Ruth Stella Correa Palacio.</w:t>
            </w:r>
          </w:p>
          <w:p w14:paraId="7C63FB72" w14:textId="77777777" w:rsidR="00236E89" w:rsidRPr="00C2765B" w:rsidRDefault="00236E89" w:rsidP="00236E89">
            <w:pPr>
              <w:widowControl w:val="0"/>
              <w:numPr>
                <w:ilvl w:val="0"/>
                <w:numId w:val="34"/>
              </w:numPr>
              <w:autoSpaceDE w:val="0"/>
              <w:autoSpaceDN w:val="0"/>
              <w:spacing w:after="120" w:line="276" w:lineRule="auto"/>
              <w:ind w:left="714" w:hanging="357"/>
              <w:jc w:val="both"/>
              <w:rPr>
                <w:rFonts w:ascii="Verdana" w:eastAsia="Calibri" w:hAnsi="Verdana" w:cs="Arial"/>
                <w:lang w:eastAsia="es-MX"/>
              </w:rPr>
            </w:pPr>
            <w:r w:rsidRPr="00C2765B">
              <w:rPr>
                <w:rFonts w:ascii="Verdana" w:eastAsia="Aptos" w:hAnsi="Verdana" w:cs="Arial"/>
                <w:lang w:val="es-ES_tradnl"/>
              </w:rPr>
              <w:t>CONSEJO DE ESTADO. Sala de Consulta y Servicio Civil. Concepto del 5 de septiembre de 2018, radicado No. 11001-03-06-000-2018-00124-00, C.P. Édgar González López.</w:t>
            </w:r>
          </w:p>
          <w:p w14:paraId="22B2303D" w14:textId="77777777" w:rsidR="00195A45" w:rsidRPr="00337CBE" w:rsidRDefault="00236E89" w:rsidP="00236E89">
            <w:pPr>
              <w:pStyle w:val="Prrafodelista"/>
              <w:rPr>
                <w:rFonts w:ascii="Verdana" w:hAnsi="Verdana"/>
              </w:rPr>
            </w:pPr>
            <w:r w:rsidRPr="00C2765B">
              <w:rPr>
                <w:rFonts w:ascii="Verdana" w:eastAsia="Calibri" w:hAnsi="Verdana" w:cs="Arial"/>
                <w:lang w:eastAsia="es-MX"/>
              </w:rPr>
              <w:t xml:space="preserve">Documentos tipo de licitación de obra pública de infraestructura de transporte –versión 3–. Disponibles en: </w:t>
            </w:r>
            <w:hyperlink r:id="rId11" w:history="1">
              <w:r w:rsidRPr="00C2765B">
                <w:rPr>
                  <w:rFonts w:ascii="Verdana" w:eastAsia="Calibri" w:hAnsi="Verdana" w:cs="Arial"/>
                  <w:color w:val="467886"/>
                  <w:u w:val="single"/>
                  <w:lang w:eastAsia="es-MX"/>
                </w:rPr>
                <w:t>https://www.colombiacompra.gov.co/content/04-documentos-tipo-para-licitacion-de-obra-publica-de-infraestructura-de-transporte-version</w:t>
              </w:r>
            </w:hyperlink>
            <w:r w:rsidRPr="00C2765B">
              <w:rPr>
                <w:rFonts w:ascii="Verdana" w:eastAsia="Calibri" w:hAnsi="Verdana" w:cs="Arial"/>
                <w:lang w:eastAsia="es-MX"/>
              </w:rPr>
              <w:t>.</w:t>
            </w:r>
          </w:p>
          <w:p w14:paraId="28F15653" w14:textId="77777777" w:rsidR="00195A45" w:rsidRPr="00793478" w:rsidRDefault="00195A45" w:rsidP="00162A72">
            <w:pPr>
              <w:rPr>
                <w:rFonts w:ascii="Century Gothic" w:hAnsi="Century Gothic"/>
              </w:rPr>
            </w:pPr>
          </w:p>
        </w:tc>
      </w:tr>
    </w:tbl>
    <w:p w14:paraId="2CAF356D" w14:textId="77777777" w:rsidR="00195A45" w:rsidRPr="006C7E16" w:rsidRDefault="00195A45" w:rsidP="00195A45">
      <w:pPr>
        <w:widowControl w:val="0"/>
        <w:autoSpaceDE w:val="0"/>
        <w:autoSpaceDN w:val="0"/>
        <w:spacing w:after="0" w:line="276" w:lineRule="auto"/>
        <w:jc w:val="both"/>
        <w:rPr>
          <w:rFonts w:ascii="Century Gothic" w:eastAsia="Times New Roman" w:hAnsi="Century Gothic" w:cs="Arial"/>
        </w:rPr>
      </w:pPr>
    </w:p>
    <w:p w14:paraId="58A16186" w14:textId="77777777" w:rsidR="00195A45" w:rsidRDefault="00195A45" w:rsidP="00195A4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Doctrina de la Agencia Nacional de Contratación Pública:</w:t>
      </w:r>
    </w:p>
    <w:p w14:paraId="42274418" w14:textId="77777777" w:rsidR="00195A45" w:rsidRDefault="00195A45" w:rsidP="00195A45">
      <w:pPr>
        <w:tabs>
          <w:tab w:val="left" w:pos="142"/>
          <w:tab w:val="left" w:pos="284"/>
        </w:tabs>
        <w:spacing w:after="0" w:line="276" w:lineRule="auto"/>
        <w:jc w:val="both"/>
        <w:rPr>
          <w:rFonts w:ascii="Verdana" w:eastAsia="Century Gothic" w:hAnsi="Verdana" w:cs="Century Gothic"/>
          <w:b/>
          <w:bCs/>
          <w:lang w:val="es-ES"/>
        </w:rPr>
      </w:pPr>
    </w:p>
    <w:p w14:paraId="776C3491" w14:textId="77777777" w:rsidR="00195A45" w:rsidRDefault="00195A45" w:rsidP="00195A45">
      <w:pPr>
        <w:tabs>
          <w:tab w:val="left" w:pos="142"/>
          <w:tab w:val="left" w:pos="284"/>
        </w:tabs>
        <w:spacing w:after="0" w:line="276" w:lineRule="auto"/>
        <w:jc w:val="both"/>
        <w:rPr>
          <w:rFonts w:ascii="Verdana" w:eastAsia="Century Gothic" w:hAnsi="Verdana" w:cs="Century Gothic"/>
          <w:b/>
          <w:bCs/>
          <w:lang w:val="es-ES"/>
        </w:rPr>
      </w:pPr>
    </w:p>
    <w:p w14:paraId="0D299571" w14:textId="77777777" w:rsidR="00195A45" w:rsidRPr="008550B6" w:rsidRDefault="00195A45" w:rsidP="00195A45">
      <w:pPr>
        <w:widowControl w:val="0"/>
        <w:autoSpaceDE w:val="0"/>
        <w:autoSpaceDN w:val="0"/>
        <w:spacing w:after="0" w:line="276" w:lineRule="auto"/>
        <w:jc w:val="both"/>
        <w:rPr>
          <w:rFonts w:ascii="Verdana" w:hAnsi="Verdana" w:cs="Arial"/>
          <w:shd w:val="clear" w:color="auto" w:fill="FFFFFF"/>
        </w:rPr>
      </w:pPr>
      <w:r w:rsidRPr="00EB6893">
        <w:rPr>
          <w:rFonts w:ascii="Verdana" w:hAnsi="Verdana" w:cs="Arial"/>
          <w:shd w:val="clear" w:color="auto" w:fill="FFFFFF"/>
        </w:rPr>
        <w:t>La Agencia Nacional de Contratación Pública – Colombia Compra Eficiente se pronunció sobre el A</w:t>
      </w:r>
      <w:r>
        <w:rPr>
          <w:rFonts w:ascii="Verdana" w:hAnsi="Verdana" w:cs="Arial"/>
          <w:shd w:val="clear" w:color="auto" w:fill="FFFFFF"/>
        </w:rPr>
        <w:t>.</w:t>
      </w:r>
      <w:r w:rsidRPr="00EB6893">
        <w:rPr>
          <w:rFonts w:ascii="Verdana" w:hAnsi="Verdana" w:cs="Arial"/>
          <w:shd w:val="clear" w:color="auto" w:fill="FFFFFF"/>
        </w:rPr>
        <w:t>I</w:t>
      </w:r>
      <w:r>
        <w:rPr>
          <w:rFonts w:ascii="Verdana" w:hAnsi="Verdana" w:cs="Arial"/>
          <w:shd w:val="clear" w:color="auto" w:fill="FFFFFF"/>
        </w:rPr>
        <w:t>.</w:t>
      </w:r>
      <w:r w:rsidRPr="00EB6893">
        <w:rPr>
          <w:rFonts w:ascii="Verdana" w:hAnsi="Verdana" w:cs="Arial"/>
          <w:shd w:val="clear" w:color="auto" w:fill="FFFFFF"/>
        </w:rPr>
        <w:t>U, en los conceptos C–037 del 28 de enero de 2020, 4202012000000664 del 30 de enero de 2020, C-059 del 10 de marzo de 2021</w:t>
      </w:r>
      <w:r>
        <w:rPr>
          <w:rFonts w:ascii="Verdana" w:hAnsi="Verdana" w:cs="Arial"/>
          <w:shd w:val="clear" w:color="auto" w:fill="FFFFFF"/>
        </w:rPr>
        <w:t>,</w:t>
      </w:r>
      <w:r w:rsidRPr="00EB6893">
        <w:rPr>
          <w:rFonts w:ascii="Verdana" w:hAnsi="Verdana" w:cs="Arial"/>
          <w:shd w:val="clear" w:color="auto" w:fill="FFFFFF"/>
        </w:rPr>
        <w:t>C-191 del 16 de marzo de 2020, C-211 del 8 de abril de 2020, C-212 del 05 de agosto de 2024</w:t>
      </w:r>
      <w:r>
        <w:rPr>
          <w:rFonts w:ascii="Verdana" w:hAnsi="Verdana" w:cs="Arial"/>
          <w:shd w:val="clear" w:color="auto" w:fill="FFFFFF"/>
        </w:rPr>
        <w:t xml:space="preserve">, </w:t>
      </w:r>
      <w:r w:rsidRPr="00EB6893">
        <w:rPr>
          <w:rFonts w:ascii="Verdana" w:hAnsi="Verdana" w:cs="Arial"/>
          <w:shd w:val="clear" w:color="auto" w:fill="FFFFFF"/>
        </w:rPr>
        <w:t>C-455 del 18 de septiembre del 2024</w:t>
      </w:r>
      <w:r>
        <w:rPr>
          <w:rFonts w:ascii="Verdana" w:hAnsi="Verdana" w:cs="Arial"/>
          <w:shd w:val="clear" w:color="auto" w:fill="FFFFFF"/>
        </w:rPr>
        <w:t>,</w:t>
      </w:r>
      <w:r w:rsidRPr="00B6651D">
        <w:rPr>
          <w:rFonts w:ascii="Verdana" w:hAnsi="Verdana" w:cs="Arial"/>
          <w:shd w:val="clear" w:color="auto" w:fill="FFFFFF"/>
        </w:rPr>
        <w:t xml:space="preserve"> </w:t>
      </w:r>
      <w:r w:rsidRPr="00EB6893">
        <w:rPr>
          <w:rFonts w:ascii="Verdana" w:hAnsi="Verdana" w:cs="Arial"/>
          <w:shd w:val="clear" w:color="auto" w:fill="FFFFFF"/>
        </w:rPr>
        <w:t>C-401 del 27 de septiembre de 2023</w:t>
      </w:r>
      <w:r>
        <w:rPr>
          <w:rFonts w:ascii="Verdana" w:hAnsi="Verdana" w:cs="Arial"/>
          <w:shd w:val="clear" w:color="auto" w:fill="FFFFFF"/>
        </w:rPr>
        <w:t>,</w:t>
      </w:r>
      <w:r w:rsidRPr="00B6651D">
        <w:rPr>
          <w:rFonts w:ascii="Verdana" w:hAnsi="Verdana" w:cs="Arial"/>
          <w:shd w:val="clear" w:color="auto" w:fill="FFFFFF"/>
        </w:rPr>
        <w:t xml:space="preserve"> </w:t>
      </w:r>
      <w:r w:rsidRPr="00EB6893">
        <w:rPr>
          <w:rFonts w:ascii="Verdana" w:hAnsi="Verdana" w:cs="Arial"/>
          <w:shd w:val="clear" w:color="auto" w:fill="FFFFFF"/>
        </w:rPr>
        <w:t>C-613 del 6 de octubre de 2022</w:t>
      </w:r>
      <w:r>
        <w:rPr>
          <w:rFonts w:ascii="Verdana" w:hAnsi="Verdana" w:cs="Arial"/>
          <w:shd w:val="clear" w:color="auto" w:fill="FFFFFF"/>
        </w:rPr>
        <w:t>,</w:t>
      </w:r>
      <w:r w:rsidRPr="00B6651D">
        <w:rPr>
          <w:rFonts w:ascii="Verdana" w:hAnsi="Verdana" w:cs="Arial"/>
          <w:shd w:val="clear" w:color="auto" w:fill="FFFFFF"/>
        </w:rPr>
        <w:t xml:space="preserve"> </w:t>
      </w:r>
      <w:r>
        <w:rPr>
          <w:rFonts w:ascii="Verdana" w:hAnsi="Verdana" w:cs="Arial"/>
          <w:shd w:val="clear" w:color="auto" w:fill="FFFFFF"/>
        </w:rPr>
        <w:t xml:space="preserve">C- 13 de noviembre de 2024, </w:t>
      </w:r>
      <w:r w:rsidRPr="00EB6893">
        <w:rPr>
          <w:rFonts w:ascii="Verdana" w:hAnsi="Verdana" w:cs="Arial"/>
          <w:shd w:val="clear" w:color="auto" w:fill="FFFFFF"/>
        </w:rPr>
        <w:t>C-716 de 15 de noviembre de 2022, C-802 de 23 de noviembre de 2022</w:t>
      </w:r>
      <w:r>
        <w:rPr>
          <w:rFonts w:ascii="Verdana" w:hAnsi="Verdana" w:cs="Arial"/>
          <w:shd w:val="clear" w:color="auto" w:fill="FFFFFF"/>
        </w:rPr>
        <w:t xml:space="preserve">, </w:t>
      </w:r>
      <w:r w:rsidRPr="00EB6893">
        <w:rPr>
          <w:rFonts w:ascii="Verdana" w:hAnsi="Verdana" w:cs="Arial"/>
          <w:shd w:val="clear" w:color="auto" w:fill="FFFFFF"/>
        </w:rPr>
        <w:t>C-714 del 9 de diciembre de 2020</w:t>
      </w:r>
      <w:r>
        <w:rPr>
          <w:rFonts w:ascii="Verdana" w:hAnsi="Verdana" w:cs="Arial"/>
          <w:shd w:val="clear" w:color="auto" w:fill="FFFFFF"/>
        </w:rPr>
        <w:t>,</w:t>
      </w:r>
      <w:r w:rsidRPr="00E375A8">
        <w:rPr>
          <w:rFonts w:ascii="Verdana" w:hAnsi="Verdana" w:cs="Arial"/>
          <w:shd w:val="clear" w:color="auto" w:fill="FFFFFF"/>
        </w:rPr>
        <w:t xml:space="preserve"> </w:t>
      </w:r>
      <w:r w:rsidRPr="00EB6893">
        <w:rPr>
          <w:rFonts w:ascii="Verdana" w:hAnsi="Verdana" w:cs="Arial"/>
          <w:shd w:val="clear" w:color="auto" w:fill="FFFFFF"/>
        </w:rPr>
        <w:t>C-854 del 9 de diciembre de 2022, C-914 del 27 de diciembre de 2022</w:t>
      </w:r>
      <w:r>
        <w:rPr>
          <w:rFonts w:ascii="Verdana" w:hAnsi="Verdana" w:cs="Arial"/>
          <w:shd w:val="clear" w:color="auto" w:fill="FFFFFF"/>
        </w:rPr>
        <w:t xml:space="preserve"> y </w:t>
      </w:r>
      <w:r w:rsidRPr="00E375A8">
        <w:rPr>
          <w:rFonts w:ascii="Verdana" w:hAnsi="Verdana" w:cs="Arial"/>
          <w:shd w:val="clear" w:color="auto" w:fill="FFFFFF"/>
        </w:rPr>
        <w:t xml:space="preserve"> </w:t>
      </w:r>
      <w:r w:rsidRPr="00EB6893">
        <w:rPr>
          <w:rFonts w:ascii="Verdana" w:hAnsi="Verdana" w:cs="Arial"/>
          <w:shd w:val="clear" w:color="auto" w:fill="FFFFFF"/>
        </w:rPr>
        <w:t>C-784 del 11 de diciembre del 2024</w:t>
      </w:r>
      <w:r>
        <w:rPr>
          <w:rFonts w:ascii="Verdana" w:hAnsi="Verdana" w:cs="Arial"/>
          <w:shd w:val="clear" w:color="auto" w:fill="FFFFFF"/>
        </w:rPr>
        <w:t>.</w:t>
      </w:r>
      <w:r w:rsidRPr="00EB6893">
        <w:rPr>
          <w:rFonts w:ascii="Verdana" w:hAnsi="Verdana" w:cs="Arial"/>
          <w:shd w:val="clear" w:color="auto" w:fill="FFFFFF"/>
        </w:rPr>
        <w:t xml:space="preserve"> </w:t>
      </w:r>
      <w:r w:rsidRPr="006C7E16">
        <w:rPr>
          <w:rFonts w:ascii="Verdana" w:eastAsia="Times New Roman" w:hAnsi="Verdana" w:cs="Arial"/>
          <w:shd w:val="clear" w:color="auto" w:fill="FFFFFF"/>
          <w:lang w:val="es-ES"/>
        </w:rPr>
        <w:t>Es</w:t>
      </w:r>
      <w:r w:rsidRPr="006C7E16">
        <w:rPr>
          <w:rFonts w:ascii="Verdana" w:eastAsia="Times New Roman" w:hAnsi="Verdana" w:cs="Times New Roman"/>
        </w:rPr>
        <w:t xml:space="preserve">tos y otros </w:t>
      </w:r>
      <w:r w:rsidRPr="006C7E16">
        <w:rPr>
          <w:rFonts w:ascii="Verdana" w:eastAsia="Times New Roman" w:hAnsi="Verdana" w:cs="Times New Roman"/>
        </w:rPr>
        <w:lastRenderedPageBreak/>
        <w:t>conceptos se encuentran disponibles para consulta en el Sistema de relatoría de la Agencia, al cual se puede acceder a través del siguiente enlace:</w:t>
      </w:r>
      <w:r w:rsidRPr="006C7E16">
        <w:rPr>
          <w:rFonts w:ascii="Verdana" w:eastAsia="Times New Roman" w:hAnsi="Verdana" w:cs="Arial"/>
          <w:shd w:val="clear" w:color="auto" w:fill="FFFFFF"/>
          <w:lang w:val="es-ES"/>
        </w:rPr>
        <w:t xml:space="preserve"> </w:t>
      </w:r>
      <w:hyperlink r:id="rId12" w:history="1">
        <w:r w:rsidRPr="006C7E16">
          <w:rPr>
            <w:rFonts w:ascii="Verdana" w:eastAsia="Times New Roman" w:hAnsi="Verdana" w:cs="Arial"/>
            <w:color w:val="0563C1" w:themeColor="hyperlink"/>
            <w:u w:val="single"/>
            <w:shd w:val="clear" w:color="auto" w:fill="FFFFFF"/>
            <w:lang w:val="es-ES"/>
          </w:rPr>
          <w:t>https://relatoria.colombiacompra.gov.co/busqueda/conceptos</w:t>
        </w:r>
      </w:hyperlink>
    </w:p>
    <w:p w14:paraId="0F56BFC9" w14:textId="77777777" w:rsidR="00195A45" w:rsidRDefault="00195A45" w:rsidP="00195A45">
      <w:pPr>
        <w:tabs>
          <w:tab w:val="left" w:pos="142"/>
          <w:tab w:val="left" w:pos="284"/>
        </w:tabs>
        <w:spacing w:after="0" w:line="276" w:lineRule="auto"/>
        <w:jc w:val="both"/>
        <w:rPr>
          <w:rFonts w:ascii="Verdana" w:hAnsi="Verdana" w:cs="Arial"/>
          <w:shd w:val="clear" w:color="auto" w:fill="FFFFFF"/>
        </w:rPr>
      </w:pPr>
    </w:p>
    <w:p w14:paraId="0E082A2F" w14:textId="77777777" w:rsidR="00195A45" w:rsidRDefault="00195A45" w:rsidP="00195A45">
      <w:pPr>
        <w:widowControl w:val="0"/>
        <w:autoSpaceDE w:val="0"/>
        <w:autoSpaceDN w:val="0"/>
        <w:spacing w:after="0" w:line="276" w:lineRule="auto"/>
        <w:jc w:val="both"/>
        <w:rPr>
          <w:rFonts w:ascii="Verdana" w:hAnsi="Verdana"/>
        </w:rPr>
      </w:pPr>
      <w:r w:rsidRPr="00AC361B">
        <w:rPr>
          <w:rFonts w:ascii="Verdana" w:hAnsi="Verdana"/>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6A470E56" w14:textId="77777777" w:rsidR="00195A45" w:rsidRPr="00AC361B" w:rsidRDefault="00195A45" w:rsidP="00195A45">
      <w:pPr>
        <w:widowControl w:val="0"/>
        <w:autoSpaceDE w:val="0"/>
        <w:autoSpaceDN w:val="0"/>
        <w:spacing w:after="0" w:line="276" w:lineRule="auto"/>
        <w:jc w:val="both"/>
        <w:rPr>
          <w:rFonts w:ascii="Verdana" w:hAnsi="Verdana"/>
        </w:rPr>
      </w:pPr>
    </w:p>
    <w:p w14:paraId="42FDDB19" w14:textId="77777777" w:rsidR="00195A45" w:rsidRPr="00AC361B" w:rsidRDefault="00195A45" w:rsidP="00195A45">
      <w:pPr>
        <w:widowControl w:val="0"/>
        <w:numPr>
          <w:ilvl w:val="0"/>
          <w:numId w:val="17"/>
        </w:numPr>
        <w:autoSpaceDE w:val="0"/>
        <w:autoSpaceDN w:val="0"/>
        <w:spacing w:after="0" w:line="276" w:lineRule="auto"/>
        <w:jc w:val="both"/>
        <w:rPr>
          <w:rFonts w:ascii="Verdana" w:hAnsi="Verdana"/>
        </w:rPr>
      </w:pPr>
      <w:r w:rsidRPr="00AC361B">
        <w:rPr>
          <w:rFonts w:ascii="Verdana" w:hAnsi="Verdana"/>
          <w:b/>
          <w:bCs/>
        </w:rPr>
        <w:t>Documentos tipo para los procesos de selección de interventoría 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AC361B">
          <w:rPr>
            <w:rStyle w:val="Hipervnculo"/>
            <w:rFonts w:ascii="Verdana" w:hAnsi="Verdana"/>
          </w:rPr>
          <w:t>03. Documentos tipo para los procesos de selección de interventoría de obra pública de infraestructura de transporte – versión 3 | Colombia Compra Eficiente | Agencia Nacional de Contratación Pública</w:t>
        </w:r>
      </w:hyperlink>
    </w:p>
    <w:p w14:paraId="1FCB3077" w14:textId="77777777" w:rsidR="00195A45" w:rsidRPr="00AC361B" w:rsidRDefault="00195A45" w:rsidP="00195A45">
      <w:pPr>
        <w:widowControl w:val="0"/>
        <w:numPr>
          <w:ilvl w:val="0"/>
          <w:numId w:val="17"/>
        </w:numPr>
        <w:autoSpaceDE w:val="0"/>
        <w:autoSpaceDN w:val="0"/>
        <w:spacing w:after="0" w:line="276" w:lineRule="auto"/>
        <w:jc w:val="both"/>
        <w:rPr>
          <w:rFonts w:ascii="Verdana" w:hAnsi="Verdana"/>
        </w:rPr>
      </w:pPr>
      <w:r w:rsidRPr="00AC361B">
        <w:rPr>
          <w:rFonts w:ascii="Verdana" w:hAnsi="Verdana"/>
          <w:b/>
          <w:bCs/>
        </w:rPr>
        <w:t>Documentos tipo para los procesos de selección de consultoría de obra pública de infraestructura de transporte – versión 2:</w:t>
      </w:r>
      <w:r w:rsidRPr="00AC361B">
        <w:rPr>
          <w:rFonts w:ascii="Verdana" w:hAnsi="Verdana"/>
        </w:rPr>
        <w:t> </w:t>
      </w:r>
      <w:hyperlink r:id="rId14" w:tgtFrame="_blank" w:tooltip="Dirección URL original: https://www.colombiacompra.gov.co/content/02-documentos-tipo-para-los-procesos-de-seleccion-de-consultoria-de-obra-publica-de. Haga clic o pulse si confía en este vínculo." w:history="1">
        <w:r w:rsidRPr="00AC361B">
          <w:rPr>
            <w:rStyle w:val="Hipervnculo"/>
            <w:rFonts w:ascii="Verdana" w:hAnsi="Verdana"/>
          </w:rPr>
          <w:t>02. Documentos tipo para los procesos de selección de consultoría de obra pública de infraestructura de transporte – versión 2. | Colombia Compra Eficiente | Agencia Nacional de Contratación Pública</w:t>
        </w:r>
      </w:hyperlink>
    </w:p>
    <w:p w14:paraId="510F0BAA" w14:textId="77777777" w:rsidR="00195A45" w:rsidRDefault="00195A45" w:rsidP="00195A45">
      <w:pPr>
        <w:widowControl w:val="0"/>
        <w:autoSpaceDE w:val="0"/>
        <w:autoSpaceDN w:val="0"/>
        <w:spacing w:after="0" w:line="276" w:lineRule="auto"/>
        <w:jc w:val="both"/>
        <w:rPr>
          <w:rFonts w:ascii="Verdana" w:hAnsi="Verdana"/>
        </w:rPr>
      </w:pPr>
    </w:p>
    <w:p w14:paraId="493F48B5" w14:textId="77777777" w:rsidR="00195A45" w:rsidRPr="00AC361B" w:rsidRDefault="00195A45" w:rsidP="00195A45">
      <w:pPr>
        <w:widowControl w:val="0"/>
        <w:autoSpaceDE w:val="0"/>
        <w:autoSpaceDN w:val="0"/>
        <w:spacing w:after="0" w:line="276" w:lineRule="auto"/>
        <w:jc w:val="both"/>
        <w:rPr>
          <w:rFonts w:ascii="Verdana" w:hAnsi="Verdana"/>
        </w:rPr>
      </w:pPr>
      <w:r w:rsidRPr="00AC361B">
        <w:rPr>
          <w:rFonts w:ascii="Verdana" w:hAnsi="Verdana"/>
        </w:rPr>
        <w:t>También, te contamos que ya publicamos </w:t>
      </w:r>
      <w:r w:rsidRPr="00AC361B">
        <w:rPr>
          <w:rFonts w:ascii="Verdana" w:hAnsi="Verdana"/>
          <w:b/>
          <w:bCs/>
        </w:rPr>
        <w:t>la nueva Guía de Contratación Pública Sostenible y Socialmente Responsable</w:t>
      </w:r>
      <w:r w:rsidRPr="00AC361B">
        <w:rPr>
          <w:rFonts w:ascii="Verdana" w:hAnsi="Verdana"/>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AC361B">
          <w:rPr>
            <w:rStyle w:val="Hipervnculo"/>
            <w:rFonts w:ascii="Verdana" w:hAnsi="Verdana"/>
          </w:rPr>
          <w:t>Guía de Contratación Pública Sostenible y Socialmente Responsable | Colombia Compra Eficiente | Agencia Nacional de Contratación Pública</w:t>
        </w:r>
      </w:hyperlink>
    </w:p>
    <w:p w14:paraId="1BD51A54" w14:textId="77777777" w:rsidR="00195A45" w:rsidRPr="006C7E16" w:rsidRDefault="00195A45" w:rsidP="00195A45">
      <w:pPr>
        <w:widowControl w:val="0"/>
        <w:autoSpaceDE w:val="0"/>
        <w:autoSpaceDN w:val="0"/>
        <w:spacing w:after="0" w:line="276" w:lineRule="auto"/>
        <w:jc w:val="both"/>
      </w:pPr>
    </w:p>
    <w:p w14:paraId="595FC26F" w14:textId="77777777" w:rsidR="00195A45" w:rsidRPr="008774D0" w:rsidRDefault="00195A45" w:rsidP="00195A45">
      <w:pPr>
        <w:spacing w:after="0" w:line="240" w:lineRule="auto"/>
        <w:jc w:val="both"/>
        <w:rPr>
          <w:rFonts w:ascii="Verdana" w:eastAsia="Times New Roman" w:hAnsi="Verdana" w:cs="Times New Roman"/>
        </w:rPr>
      </w:pPr>
      <w:r w:rsidRPr="008774D0">
        <w:rPr>
          <w:rFonts w:ascii="Verdana" w:eastAsia="Times New Roman" w:hAnsi="Verdana" w:cs="Times New Roman"/>
        </w:rPr>
        <w:t xml:space="preserve">Por último, lo invitamos a seguirnos en las redes sociales en las cuales se difunde información institucional: </w:t>
      </w:r>
    </w:p>
    <w:p w14:paraId="49B305D3" w14:textId="77777777" w:rsidR="00195A45" w:rsidRPr="00A456A7" w:rsidRDefault="00195A45" w:rsidP="00195A45">
      <w:pPr>
        <w:spacing w:after="0" w:line="240" w:lineRule="auto"/>
        <w:jc w:val="both"/>
        <w:rPr>
          <w:rFonts w:ascii="Verdana" w:eastAsia="Times New Roman" w:hAnsi="Verdana" w:cs="Times New Roman"/>
        </w:rPr>
      </w:pPr>
    </w:p>
    <w:p w14:paraId="73F33FE6" w14:textId="77777777" w:rsidR="00195A45" w:rsidRPr="00A456A7" w:rsidRDefault="00195A45" w:rsidP="00195A45">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Twitter: </w:t>
      </w:r>
      <w:r w:rsidRPr="00A456A7">
        <w:rPr>
          <w:rFonts w:ascii="Verdana" w:eastAsia="Times New Roman" w:hAnsi="Verdana" w:cs="Times New Roman"/>
          <w:color w:val="4472C4" w:themeColor="accent1"/>
          <w:u w:val="single"/>
        </w:rPr>
        <w:t>@colombiacompra</w:t>
      </w:r>
      <w:r w:rsidRPr="00A456A7">
        <w:rPr>
          <w:rFonts w:ascii="Verdana" w:eastAsia="Times New Roman" w:hAnsi="Verdana" w:cs="Times New Roman"/>
          <w:color w:val="4472C4" w:themeColor="accent1"/>
        </w:rPr>
        <w:t xml:space="preserve"> </w:t>
      </w:r>
    </w:p>
    <w:p w14:paraId="55E748FF" w14:textId="77777777" w:rsidR="00195A45" w:rsidRPr="00A456A7" w:rsidRDefault="00195A45" w:rsidP="00195A45">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Facebook: </w:t>
      </w:r>
      <w:proofErr w:type="spellStart"/>
      <w:r w:rsidRPr="00A456A7">
        <w:rPr>
          <w:rFonts w:ascii="Verdana" w:eastAsia="Times New Roman" w:hAnsi="Verdana" w:cs="Times New Roman"/>
          <w:color w:val="4472C4" w:themeColor="accent1"/>
          <w:u w:val="single"/>
        </w:rPr>
        <w:t>ColombiaCompraEficiente</w:t>
      </w:r>
      <w:proofErr w:type="spellEnd"/>
    </w:p>
    <w:p w14:paraId="24E854F3" w14:textId="77777777" w:rsidR="00195A45" w:rsidRPr="00A456A7" w:rsidRDefault="00195A45" w:rsidP="00195A45">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LinkedIn: </w:t>
      </w:r>
      <w:r w:rsidRPr="00A456A7">
        <w:rPr>
          <w:rFonts w:ascii="Verdana" w:eastAsia="Times New Roman" w:hAnsi="Verdana" w:cs="Times New Roman"/>
          <w:color w:val="4472C4" w:themeColor="accent1"/>
          <w:u w:val="single"/>
        </w:rPr>
        <w:t>Agencia Nacional de Contratación Pública - Colombia Compra Eficiente</w:t>
      </w:r>
      <w:r w:rsidRPr="00A456A7">
        <w:rPr>
          <w:rFonts w:ascii="Verdana" w:eastAsia="Times New Roman" w:hAnsi="Verdana" w:cs="Times New Roman"/>
          <w:color w:val="4472C4" w:themeColor="accent1"/>
        </w:rPr>
        <w:t xml:space="preserve"> </w:t>
      </w:r>
      <w:r w:rsidRPr="00A456A7">
        <w:rPr>
          <w:rFonts w:ascii="Verdana" w:eastAsia="Times New Roman" w:hAnsi="Verdana" w:cs="Times New Roman"/>
        </w:rPr>
        <w:t xml:space="preserve">Instagram: </w:t>
      </w:r>
      <w:r w:rsidRPr="00A456A7">
        <w:rPr>
          <w:rFonts w:ascii="Verdana" w:eastAsia="Times New Roman" w:hAnsi="Verdana" w:cs="Times New Roman"/>
          <w:color w:val="4472C4" w:themeColor="accent1"/>
          <w:u w:val="single"/>
        </w:rPr>
        <w:t>@colombiacompraeficiente_cce</w:t>
      </w:r>
    </w:p>
    <w:p w14:paraId="000FC0DA" w14:textId="77777777" w:rsidR="00195A45" w:rsidRPr="00A456A7" w:rsidRDefault="00195A45" w:rsidP="00195A45">
      <w:pPr>
        <w:widowControl w:val="0"/>
        <w:autoSpaceDE w:val="0"/>
        <w:autoSpaceDN w:val="0"/>
        <w:spacing w:after="0" w:line="276" w:lineRule="auto"/>
        <w:jc w:val="both"/>
        <w:rPr>
          <w:rFonts w:ascii="Verdana" w:eastAsia="Times New Roman" w:hAnsi="Verdana" w:cs="Arial"/>
        </w:rPr>
      </w:pPr>
    </w:p>
    <w:p w14:paraId="7766251D" w14:textId="77777777" w:rsidR="00195A45" w:rsidRPr="008774D0" w:rsidRDefault="00195A45" w:rsidP="00195A45">
      <w:pPr>
        <w:widowControl w:val="0"/>
        <w:autoSpaceDE w:val="0"/>
        <w:autoSpaceDN w:val="0"/>
        <w:spacing w:after="0" w:line="276" w:lineRule="auto"/>
        <w:jc w:val="both"/>
        <w:rPr>
          <w:rFonts w:ascii="Verdana" w:eastAsia="Times New Roman" w:hAnsi="Verdana" w:cs="Arial"/>
          <w:lang w:val="es-ES_tradnl"/>
        </w:rPr>
      </w:pPr>
      <w:r w:rsidRPr="008774D0">
        <w:rPr>
          <w:rFonts w:ascii="Verdana" w:eastAsia="Times New Roman" w:hAnsi="Verdana" w:cs="Arial"/>
        </w:rPr>
        <w:t xml:space="preserve">Este concepto tiene el alcance previsto en el artículo 28 del Código de </w:t>
      </w:r>
      <w:r w:rsidRPr="008774D0">
        <w:rPr>
          <w:rFonts w:ascii="Verdana" w:eastAsia="Times New Roman" w:hAnsi="Verdana" w:cs="Arial"/>
        </w:rPr>
        <w:lastRenderedPageBreak/>
        <w:t xml:space="preserve">Procedimiento Administrativo y de lo Contencioso Administrativo </w:t>
      </w:r>
      <w:r w:rsidRPr="008774D0">
        <w:rPr>
          <w:rFonts w:ascii="Verdana" w:eastAsia="Times New Roman" w:hAnsi="Verdana" w:cs="Arial"/>
          <w:lang w:val="es-ES_tradnl"/>
        </w:rPr>
        <w:t>y las expresiones aquí utilizadas con mayúscula inicial deben ser entendidas con el significado que les otorga el artículo 2.2.1.1.1.3.1. del Decreto 1082 de 2015.</w:t>
      </w:r>
    </w:p>
    <w:p w14:paraId="24AAB30A" w14:textId="77777777" w:rsidR="00195A45" w:rsidRPr="006C7E16" w:rsidRDefault="00195A45" w:rsidP="00195A45">
      <w:pPr>
        <w:widowControl w:val="0"/>
        <w:autoSpaceDE w:val="0"/>
        <w:autoSpaceDN w:val="0"/>
        <w:spacing w:after="0" w:line="276" w:lineRule="auto"/>
        <w:jc w:val="both"/>
        <w:rPr>
          <w:rFonts w:ascii="Verdana" w:eastAsia="Times New Roman" w:hAnsi="Verdana" w:cs="Arial"/>
        </w:rPr>
      </w:pPr>
    </w:p>
    <w:p w14:paraId="43A33E4E" w14:textId="77777777" w:rsidR="00195A45" w:rsidRPr="006C7E16" w:rsidRDefault="00195A45" w:rsidP="00195A45">
      <w:pPr>
        <w:spacing w:after="0" w:line="240" w:lineRule="auto"/>
        <w:rPr>
          <w:rFonts w:ascii="Verdana" w:eastAsia="Times New Roman" w:hAnsi="Verdana" w:cs="Arial"/>
          <w:lang w:eastAsia="es-CO"/>
        </w:rPr>
      </w:pPr>
      <w:r w:rsidRPr="006C7E16">
        <w:rPr>
          <w:rFonts w:ascii="Verdana" w:eastAsia="Times New Roman" w:hAnsi="Verdana" w:cs="Arial"/>
          <w:lang w:eastAsia="es-CO"/>
        </w:rPr>
        <w:t xml:space="preserve">Atentamente, </w:t>
      </w:r>
    </w:p>
    <w:p w14:paraId="689A0E99" w14:textId="77777777" w:rsidR="00195A45" w:rsidRPr="006C7E16" w:rsidRDefault="00195A45" w:rsidP="00195A45">
      <w:pPr>
        <w:spacing w:line="276" w:lineRule="auto"/>
        <w:rPr>
          <w:rFonts w:ascii="Century Gothic" w:eastAsia="Times New Roman" w:hAnsi="Century Gothic" w:cs="Times New Roman"/>
          <w:noProof/>
          <w:color w:val="000000"/>
          <w:lang w:val="es-ES_tradnl" w:eastAsia="es-CO"/>
        </w:rPr>
      </w:pPr>
    </w:p>
    <w:p w14:paraId="792F02BB" w14:textId="77777777" w:rsidR="00195A45" w:rsidRPr="006C7E16" w:rsidRDefault="0041316E" w:rsidP="00195A45">
      <w:pPr>
        <w:spacing w:line="276" w:lineRule="auto"/>
        <w:jc w:val="center"/>
        <w:rPr>
          <w:rFonts w:ascii="Century Gothic" w:eastAsia="Times New Roman" w:hAnsi="Century Gothic" w:cs="Times New Roman"/>
          <w:noProof/>
          <w:color w:val="000000"/>
          <w:lang w:val="es-ES_tradnl" w:eastAsia="es-CO"/>
        </w:rPr>
      </w:pPr>
      <w:r w:rsidRPr="0041316E">
        <w:rPr>
          <w:rFonts w:ascii="Century Gothic" w:eastAsia="Aptos" w:hAnsi="Century Gothic" w:cs="Arial"/>
          <w:noProof/>
          <w:kern w:val="2"/>
          <w14:ligatures w14:val="standardContextual"/>
        </w:rPr>
        <w:drawing>
          <wp:inline distT="0" distB="0" distL="0" distR="0" wp14:anchorId="2CF54184" wp14:editId="57DF2816">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95A45" w:rsidRPr="006C7E16" w14:paraId="53107DA1" w14:textId="77777777" w:rsidTr="00162A72">
        <w:trPr>
          <w:trHeight w:val="315"/>
        </w:trPr>
        <w:tc>
          <w:tcPr>
            <w:tcW w:w="893" w:type="dxa"/>
            <w:vAlign w:val="center"/>
            <w:hideMark/>
          </w:tcPr>
          <w:p w14:paraId="1B88C981" w14:textId="77777777" w:rsidR="00195A45" w:rsidRPr="006C7E16" w:rsidRDefault="00195A45" w:rsidP="00162A72">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69A72038" w14:textId="77777777" w:rsidR="00195A45" w:rsidRPr="006C7E16" w:rsidRDefault="00195A45" w:rsidP="00162A72">
            <w:pPr>
              <w:contextualSpacing/>
              <w:rPr>
                <w:rFonts w:ascii="Verdana" w:eastAsia="Arial" w:hAnsi="Verdana" w:cs="Arial"/>
                <w:sz w:val="16"/>
                <w:szCs w:val="16"/>
              </w:rPr>
            </w:pPr>
            <w:r w:rsidRPr="006C7E16">
              <w:rPr>
                <w:rFonts w:ascii="Verdana" w:eastAsia="Arial" w:hAnsi="Verdana" w:cs="Arial"/>
                <w:sz w:val="16"/>
                <w:szCs w:val="16"/>
              </w:rPr>
              <w:t xml:space="preserve">Héctor Luis Quiñones </w:t>
            </w:r>
            <w:proofErr w:type="spellStart"/>
            <w:r w:rsidRPr="006C7E16">
              <w:rPr>
                <w:rFonts w:ascii="Verdana" w:eastAsia="Arial" w:hAnsi="Verdana" w:cs="Arial"/>
                <w:sz w:val="16"/>
                <w:szCs w:val="16"/>
              </w:rPr>
              <w:t>Quiñones</w:t>
            </w:r>
            <w:proofErr w:type="spellEnd"/>
          </w:p>
          <w:p w14:paraId="4B8BF3B0" w14:textId="77777777" w:rsidR="00195A45" w:rsidRPr="006C7E16" w:rsidRDefault="00195A45" w:rsidP="00162A72">
            <w:pPr>
              <w:contextualSpacing/>
              <w:rPr>
                <w:rFonts w:ascii="Verdana" w:eastAsia="Arial" w:hAnsi="Verdana" w:cs="Arial"/>
                <w:sz w:val="16"/>
                <w:szCs w:val="16"/>
              </w:rPr>
            </w:pPr>
            <w:r w:rsidRPr="006C7E16">
              <w:rPr>
                <w:rFonts w:ascii="Verdana" w:eastAsia="Arial" w:hAnsi="Verdana" w:cs="Arial"/>
                <w:sz w:val="16"/>
                <w:szCs w:val="16"/>
              </w:rPr>
              <w:t>Analista T2 - 02 de la Subdirección de Gestión Contractual</w:t>
            </w:r>
          </w:p>
        </w:tc>
      </w:tr>
      <w:tr w:rsidR="00195A45" w:rsidRPr="006C7E16" w14:paraId="229A2CAB" w14:textId="77777777" w:rsidTr="00162A72">
        <w:trPr>
          <w:trHeight w:val="330"/>
        </w:trPr>
        <w:tc>
          <w:tcPr>
            <w:tcW w:w="893" w:type="dxa"/>
            <w:vAlign w:val="center"/>
            <w:hideMark/>
          </w:tcPr>
          <w:p w14:paraId="3AB06966" w14:textId="77777777" w:rsidR="00195A45" w:rsidRPr="006C7E16" w:rsidRDefault="00195A45" w:rsidP="00162A72">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1CC834B7" w14:textId="77777777" w:rsidR="00195A45" w:rsidRPr="006C7E16" w:rsidRDefault="00195A45" w:rsidP="00162A72">
            <w:pPr>
              <w:contextualSpacing/>
              <w:textAlignment w:val="baseline"/>
              <w:rPr>
                <w:rFonts w:ascii="Verdana" w:eastAsia="Times New Roman" w:hAnsi="Verdana" w:cs="Segoe UI"/>
                <w:sz w:val="16"/>
                <w:szCs w:val="16"/>
                <w:lang w:eastAsia="es-ES_tradnl"/>
              </w:rPr>
            </w:pPr>
            <w:r>
              <w:rPr>
                <w:rFonts w:ascii="Verdana" w:eastAsia="Times New Roman" w:hAnsi="Verdana" w:cs="Segoe UI"/>
                <w:sz w:val="16"/>
                <w:szCs w:val="16"/>
                <w:lang w:eastAsia="es-ES_tradnl"/>
              </w:rPr>
              <w:t xml:space="preserve">Martha Alicia Romero Vargas </w:t>
            </w:r>
          </w:p>
          <w:p w14:paraId="479B0EF8" w14:textId="77777777" w:rsidR="00195A45" w:rsidRPr="006C7E16" w:rsidRDefault="00195A45" w:rsidP="00162A72">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val="es-ES" w:eastAsia="es-ES_tradnl"/>
              </w:rPr>
              <w:t>Gestor T1-15</w:t>
            </w:r>
            <w:r w:rsidRPr="006C7E16">
              <w:rPr>
                <w:rFonts w:ascii="Verdana" w:eastAsia="Times New Roman" w:hAnsi="Verdana" w:cs="Arial"/>
                <w:sz w:val="16"/>
                <w:szCs w:val="16"/>
                <w:lang w:val="es-ES" w:eastAsia="es-ES_tradnl"/>
              </w:rPr>
              <w:t xml:space="preserve"> de la Subdirección de Gestión Contractual</w:t>
            </w:r>
            <w:r w:rsidRPr="006C7E16">
              <w:rPr>
                <w:rFonts w:ascii="Verdana" w:eastAsia="Times New Roman" w:hAnsi="Verdana" w:cs="Arial"/>
                <w:sz w:val="16"/>
                <w:szCs w:val="16"/>
                <w:lang w:eastAsia="es-ES_tradnl"/>
              </w:rPr>
              <w:t> </w:t>
            </w:r>
          </w:p>
        </w:tc>
      </w:tr>
      <w:tr w:rsidR="00195A45" w:rsidRPr="006C7E16" w14:paraId="7704F637" w14:textId="77777777" w:rsidTr="00162A72">
        <w:trPr>
          <w:trHeight w:val="300"/>
        </w:trPr>
        <w:tc>
          <w:tcPr>
            <w:tcW w:w="893" w:type="dxa"/>
            <w:vAlign w:val="center"/>
          </w:tcPr>
          <w:p w14:paraId="0FB0572B" w14:textId="77777777" w:rsidR="00195A45" w:rsidRPr="006C7E16" w:rsidRDefault="00195A45" w:rsidP="00162A72">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7B0CC530" w14:textId="77777777" w:rsidR="00195A45" w:rsidRPr="006C7E16" w:rsidRDefault="00195A45" w:rsidP="00162A72">
            <w:pPr>
              <w:contextualSpacing/>
              <w:rPr>
                <w:rFonts w:ascii="Verdana" w:eastAsia="Calibri" w:hAnsi="Verdana" w:cs="Arial"/>
                <w:sz w:val="16"/>
                <w:szCs w:val="16"/>
                <w:lang w:val="pt-BR" w:eastAsia="es-ES"/>
              </w:rPr>
            </w:pPr>
            <w:r w:rsidRPr="006C7E16">
              <w:rPr>
                <w:rFonts w:ascii="Verdana" w:eastAsia="Calibri" w:hAnsi="Verdana" w:cs="Arial"/>
                <w:sz w:val="16"/>
                <w:szCs w:val="16"/>
                <w:lang w:val="pt-BR" w:eastAsia="es-ES"/>
              </w:rPr>
              <w:t xml:space="preserve">Carolina Quintero </w:t>
            </w:r>
            <w:proofErr w:type="spellStart"/>
            <w:r w:rsidRPr="006C7E16">
              <w:rPr>
                <w:rFonts w:ascii="Verdana" w:eastAsia="Calibri" w:hAnsi="Verdana" w:cs="Arial"/>
                <w:sz w:val="16"/>
                <w:szCs w:val="16"/>
                <w:lang w:val="pt-BR" w:eastAsia="es-ES"/>
              </w:rPr>
              <w:t>Gacharná</w:t>
            </w:r>
            <w:proofErr w:type="spellEnd"/>
          </w:p>
          <w:p w14:paraId="33F5C7F6" w14:textId="77777777" w:rsidR="00195A45" w:rsidRPr="006C7E16" w:rsidRDefault="00195A45" w:rsidP="00162A72">
            <w:pPr>
              <w:contextualSpacing/>
              <w:rPr>
                <w:rFonts w:ascii="Verdana" w:eastAsia="Calibri" w:hAnsi="Verdana" w:cs="Arial"/>
                <w:sz w:val="16"/>
                <w:szCs w:val="16"/>
                <w:lang w:val="pt-BR" w:eastAsia="es-ES"/>
              </w:rPr>
            </w:pPr>
            <w:r w:rsidRPr="006C7E16">
              <w:rPr>
                <w:rFonts w:ascii="Verdana" w:eastAsia="Calibri" w:hAnsi="Verdana" w:cs="Arial"/>
                <w:sz w:val="16"/>
                <w:szCs w:val="16"/>
                <w:lang w:eastAsia="es-ES"/>
              </w:rPr>
              <w:t>Subdirectora</w:t>
            </w:r>
            <w:r w:rsidRPr="006C7E16">
              <w:rPr>
                <w:rFonts w:ascii="Verdana" w:eastAsia="Calibri" w:hAnsi="Verdana" w:cs="Arial"/>
                <w:sz w:val="16"/>
                <w:szCs w:val="16"/>
                <w:lang w:val="pt-BR" w:eastAsia="es-ES"/>
              </w:rPr>
              <w:t xml:space="preserve"> de Gestión </w:t>
            </w:r>
            <w:proofErr w:type="spellStart"/>
            <w:r w:rsidRPr="006C7E16">
              <w:rPr>
                <w:rFonts w:ascii="Verdana" w:eastAsia="Calibri" w:hAnsi="Verdana" w:cs="Arial"/>
                <w:sz w:val="16"/>
                <w:szCs w:val="16"/>
                <w:lang w:val="pt-BR" w:eastAsia="es-ES"/>
              </w:rPr>
              <w:t>Contractual</w:t>
            </w:r>
            <w:proofErr w:type="spellEnd"/>
            <w:r w:rsidRPr="006C7E16">
              <w:rPr>
                <w:rFonts w:ascii="Verdana" w:eastAsia="Calibri" w:hAnsi="Verdana" w:cs="Arial"/>
                <w:sz w:val="16"/>
                <w:szCs w:val="16"/>
                <w:lang w:val="pt-BR" w:eastAsia="es-ES"/>
              </w:rPr>
              <w:t xml:space="preserve"> ANCP – CCE</w:t>
            </w:r>
          </w:p>
        </w:tc>
      </w:tr>
    </w:tbl>
    <w:p w14:paraId="1466919F" w14:textId="77777777" w:rsidR="00195A45" w:rsidRPr="00AB23E4" w:rsidRDefault="00195A45" w:rsidP="00195A45">
      <w:pPr>
        <w:spacing w:after="0" w:line="240" w:lineRule="auto"/>
        <w:textAlignment w:val="baseline"/>
        <w:rPr>
          <w:rFonts w:ascii="Verdana" w:eastAsia="Calibri" w:hAnsi="Verdana" w:cs="Arial"/>
          <w:sz w:val="16"/>
          <w:szCs w:val="16"/>
          <w:lang w:val="pt-BR" w:eastAsia="es-ES"/>
        </w:rPr>
      </w:pPr>
      <w:r>
        <w:rPr>
          <w:rFonts w:ascii="Verdana" w:eastAsia="Calibri" w:hAnsi="Verdana" w:cs="Arial"/>
          <w:sz w:val="16"/>
          <w:szCs w:val="16"/>
          <w:lang w:val="pt-BR" w:eastAsia="es-ES"/>
        </w:rPr>
        <w:t xml:space="preserve">  </w:t>
      </w:r>
    </w:p>
    <w:p w14:paraId="3DED3B22" w14:textId="77777777" w:rsidR="00195A45" w:rsidRPr="002A016A" w:rsidRDefault="00195A45" w:rsidP="00195A45"/>
    <w:p w14:paraId="51024DEF" w14:textId="77777777" w:rsidR="00195A45" w:rsidRPr="007F49FD" w:rsidRDefault="00195A45" w:rsidP="00195A45"/>
    <w:p w14:paraId="6074A7B5" w14:textId="77777777" w:rsidR="002707A2" w:rsidRPr="0044528D" w:rsidRDefault="002707A2" w:rsidP="00E245AB">
      <w:pPr>
        <w:spacing w:after="0"/>
        <w:jc w:val="both"/>
        <w:rPr>
          <w:rStyle w:val="Hipervnculo"/>
          <w:rFonts w:ascii="Verdana" w:hAnsi="Verdana"/>
        </w:rPr>
      </w:pPr>
    </w:p>
    <w:p w14:paraId="7652BB71" w14:textId="77777777" w:rsidR="002707A2" w:rsidRPr="0044528D" w:rsidRDefault="002707A2" w:rsidP="00E245AB">
      <w:pPr>
        <w:spacing w:after="0"/>
        <w:jc w:val="both"/>
        <w:rPr>
          <w:rStyle w:val="Hipervnculo"/>
          <w:rFonts w:ascii="Verdana" w:hAnsi="Verdana"/>
        </w:rPr>
      </w:pPr>
    </w:p>
    <w:p w14:paraId="5EEDE572" w14:textId="77777777" w:rsidR="002707A2" w:rsidRPr="0044528D" w:rsidRDefault="002707A2" w:rsidP="00E245AB">
      <w:pPr>
        <w:spacing w:after="0"/>
        <w:jc w:val="both"/>
        <w:rPr>
          <w:rStyle w:val="Hipervnculo"/>
          <w:rFonts w:ascii="Verdana" w:hAnsi="Verdana"/>
        </w:rPr>
      </w:pPr>
    </w:p>
    <w:p w14:paraId="678828F1" w14:textId="77777777" w:rsidR="002707A2" w:rsidRPr="0044528D" w:rsidRDefault="002707A2" w:rsidP="00E245AB">
      <w:pPr>
        <w:spacing w:after="0"/>
        <w:jc w:val="both"/>
        <w:rPr>
          <w:rStyle w:val="Hipervnculo"/>
          <w:rFonts w:ascii="Verdana" w:hAnsi="Verdana"/>
        </w:rPr>
      </w:pPr>
    </w:p>
    <w:bookmarkEnd w:id="0"/>
    <w:p w14:paraId="6D97A048"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54D4" w14:textId="77777777" w:rsidR="00A86F9B" w:rsidRDefault="00A86F9B" w:rsidP="004A1847">
      <w:pPr>
        <w:spacing w:after="0" w:line="240" w:lineRule="auto"/>
      </w:pPr>
      <w:r>
        <w:separator/>
      </w:r>
    </w:p>
  </w:endnote>
  <w:endnote w:type="continuationSeparator" w:id="0">
    <w:p w14:paraId="3CF39CC9" w14:textId="77777777" w:rsidR="00A86F9B" w:rsidRDefault="00A86F9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2986" w14:textId="77777777" w:rsidR="00050750" w:rsidRDefault="000507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7E4" w14:textId="77777777" w:rsidR="004A1847" w:rsidRDefault="004A1847">
    <w:pPr>
      <w:pStyle w:val="Piedepgina"/>
    </w:pPr>
  </w:p>
  <w:p w14:paraId="788DE5B4"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6B22D36"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2C7D7684"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64387035" w14:textId="77777777"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F2A7" w14:textId="77777777" w:rsidR="00050750" w:rsidRDefault="000507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BB75" w14:textId="77777777" w:rsidR="00A86F9B" w:rsidRDefault="00A86F9B" w:rsidP="004A1847">
      <w:pPr>
        <w:spacing w:after="0" w:line="240" w:lineRule="auto"/>
      </w:pPr>
      <w:r>
        <w:separator/>
      </w:r>
    </w:p>
  </w:footnote>
  <w:footnote w:type="continuationSeparator" w:id="0">
    <w:p w14:paraId="0686443A" w14:textId="77777777" w:rsidR="00A86F9B" w:rsidRDefault="00A86F9B" w:rsidP="004A1847">
      <w:pPr>
        <w:spacing w:after="0" w:line="240" w:lineRule="auto"/>
      </w:pPr>
      <w:r>
        <w:continuationSeparator/>
      </w:r>
    </w:p>
  </w:footnote>
  <w:footnote w:id="1">
    <w:p w14:paraId="6DC5CE0D" w14:textId="77777777" w:rsidR="00F962A1" w:rsidRPr="005431DE" w:rsidRDefault="00F962A1" w:rsidP="00F962A1">
      <w:pPr>
        <w:pStyle w:val="Textonotapie"/>
        <w:ind w:firstLine="709"/>
        <w:jc w:val="both"/>
        <w:rPr>
          <w:rFonts w:ascii="Verdana" w:eastAsia="Calibri" w:hAnsi="Verdana" w:cs="Arial"/>
          <w:sz w:val="18"/>
          <w:szCs w:val="18"/>
          <w:lang w:val="es-ES_tradnl" w:eastAsia="es-ES_tradnl"/>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587EB525" w14:textId="77777777" w:rsidR="00F962A1" w:rsidRPr="005431DE" w:rsidRDefault="00F962A1" w:rsidP="00F962A1">
      <w:pPr>
        <w:pStyle w:val="Textonotapie"/>
        <w:ind w:firstLine="709"/>
        <w:jc w:val="both"/>
        <w:rPr>
          <w:rFonts w:ascii="Verdana" w:hAnsi="Verdana" w:cs="Arial"/>
          <w:sz w:val="18"/>
          <w:szCs w:val="18"/>
          <w:lang w:val="es-ES"/>
        </w:rPr>
      </w:pPr>
      <w:r w:rsidRPr="005431DE">
        <w:rPr>
          <w:rFonts w:ascii="Verdana" w:eastAsia="Calibri" w:hAnsi="Verdana" w:cs="Arial"/>
          <w:sz w:val="18"/>
          <w:szCs w:val="18"/>
          <w:lang w:val="es-ES_tradnl" w:eastAsia="es-ES_tradnl"/>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2">
    <w:p w14:paraId="0FF81FFD" w14:textId="77777777" w:rsidR="00F962A1" w:rsidRPr="005431DE" w:rsidRDefault="00F962A1" w:rsidP="00F962A1">
      <w:pPr>
        <w:pStyle w:val="Textonotapie"/>
        <w:ind w:firstLine="708"/>
        <w:jc w:val="both"/>
        <w:rPr>
          <w:rFonts w:ascii="Verdana" w:hAnsi="Verdana" w:cs="Arial"/>
          <w:sz w:val="18"/>
          <w:szCs w:val="18"/>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CONSEJO DE ESTADO. Sección Tercera. Subsección B. Sentencia del 29 de febrero de 2012. Exp. 16371, C.P. Danilo Rojas Betancourth.</w:t>
      </w:r>
    </w:p>
  </w:footnote>
  <w:footnote w:id="3">
    <w:p w14:paraId="3CEFF4B1" w14:textId="77777777" w:rsidR="00F962A1" w:rsidRPr="005431DE" w:rsidRDefault="00F962A1" w:rsidP="00F962A1">
      <w:pPr>
        <w:pStyle w:val="Textonotapie"/>
        <w:ind w:firstLine="709"/>
        <w:jc w:val="both"/>
        <w:rPr>
          <w:rFonts w:ascii="Verdana" w:eastAsia="Calibri" w:hAnsi="Verdana" w:cs="Arial"/>
          <w:sz w:val="18"/>
          <w:szCs w:val="18"/>
          <w:lang w:val="es-ES_tradnl" w:eastAsia="es-ES_tradnl"/>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PINO RICCI, Jorge. El régimen jurídico de los contratos estatales. Universidad Externado de Colombia. Bogotá, 2005. pp. 416.</w:t>
      </w:r>
    </w:p>
    <w:p w14:paraId="5C8B0497" w14:textId="77777777" w:rsidR="00F962A1" w:rsidRPr="005431DE" w:rsidRDefault="00F962A1" w:rsidP="00F962A1">
      <w:pPr>
        <w:pStyle w:val="Textonotapie"/>
        <w:ind w:firstLine="709"/>
        <w:jc w:val="both"/>
        <w:rPr>
          <w:rFonts w:ascii="Verdana" w:hAnsi="Verdana" w:cs="Arial"/>
          <w:sz w:val="18"/>
          <w:szCs w:val="18"/>
          <w:lang w:val="es-CO"/>
        </w:rPr>
      </w:pPr>
    </w:p>
  </w:footnote>
  <w:footnote w:id="4">
    <w:p w14:paraId="5C3BE9F9" w14:textId="77777777" w:rsidR="00F962A1" w:rsidRPr="005431DE" w:rsidRDefault="00F962A1" w:rsidP="00F962A1">
      <w:pPr>
        <w:pStyle w:val="Textonotapie"/>
        <w:ind w:firstLine="708"/>
        <w:jc w:val="both"/>
        <w:rPr>
          <w:rFonts w:ascii="Verdana" w:eastAsia="Calibri" w:hAnsi="Verdana" w:cs="Arial"/>
          <w:sz w:val="18"/>
          <w:szCs w:val="18"/>
          <w:lang w:val="es-ES_tradnl" w:eastAsia="es-ES_tradnl"/>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CONSEJO DE ESTADO. Sección Tercera. Subsección B. Sentencia del 14 de octubre de 2011. Exp. 20811, C.P. Ruth Stella Correa Palacio.</w:t>
      </w:r>
    </w:p>
    <w:p w14:paraId="018BDC7D" w14:textId="77777777" w:rsidR="00F962A1" w:rsidRPr="005431DE" w:rsidRDefault="00F962A1" w:rsidP="00F962A1">
      <w:pPr>
        <w:pStyle w:val="Textonotapie"/>
        <w:ind w:firstLine="708"/>
        <w:jc w:val="both"/>
        <w:rPr>
          <w:rFonts w:ascii="Verdana" w:hAnsi="Verdana" w:cs="Arial"/>
          <w:sz w:val="18"/>
          <w:szCs w:val="18"/>
        </w:rPr>
      </w:pPr>
    </w:p>
  </w:footnote>
  <w:footnote w:id="5">
    <w:p w14:paraId="6D965184" w14:textId="77777777" w:rsidR="00F962A1" w:rsidRPr="005431DE" w:rsidRDefault="00F962A1" w:rsidP="00F962A1">
      <w:pPr>
        <w:pStyle w:val="Textonotapie"/>
        <w:ind w:firstLine="708"/>
        <w:jc w:val="both"/>
        <w:rPr>
          <w:rFonts w:ascii="Verdana" w:hAnsi="Verdana" w:cs="Arial"/>
          <w:sz w:val="18"/>
          <w:szCs w:val="18"/>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CONSEJO DE ESTADO. Sala de Consulta y Servicio Civil. Concepto del 5 de septiembre de 2018, radicado No. 11001-03-06-000-2018-00124-00 C.P. Édgar González López.</w:t>
      </w:r>
    </w:p>
  </w:footnote>
  <w:footnote w:id="6">
    <w:p w14:paraId="3AC2384E" w14:textId="77777777" w:rsidR="00F962A1" w:rsidRPr="005431DE" w:rsidRDefault="00F962A1" w:rsidP="00F962A1">
      <w:pPr>
        <w:pStyle w:val="Textonotapie"/>
        <w:ind w:firstLine="708"/>
        <w:jc w:val="both"/>
        <w:rPr>
          <w:rFonts w:ascii="Verdana" w:eastAsia="Calibri" w:hAnsi="Verdana" w:cs="Arial"/>
          <w:sz w:val="18"/>
          <w:szCs w:val="18"/>
          <w:lang w:val="es-ES_tradnl" w:eastAsia="es-ES_tradnl"/>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47F6D763" w14:textId="77777777" w:rsidR="00F962A1" w:rsidRPr="005431DE" w:rsidRDefault="00F962A1" w:rsidP="00F962A1">
      <w:pPr>
        <w:pStyle w:val="Textonotapie"/>
        <w:ind w:firstLine="708"/>
        <w:jc w:val="both"/>
        <w:rPr>
          <w:rFonts w:ascii="Verdana" w:hAnsi="Verdana" w:cs="Arial"/>
          <w:sz w:val="18"/>
          <w:szCs w:val="18"/>
        </w:rPr>
      </w:pPr>
    </w:p>
  </w:footnote>
  <w:footnote w:id="7">
    <w:p w14:paraId="63B1BCA4" w14:textId="77777777" w:rsidR="00F962A1" w:rsidRPr="005431DE" w:rsidRDefault="00F962A1" w:rsidP="00F962A1">
      <w:pPr>
        <w:pStyle w:val="Textonotapie"/>
        <w:ind w:firstLine="708"/>
        <w:jc w:val="both"/>
        <w:rPr>
          <w:rFonts w:ascii="Verdana" w:hAnsi="Verdana" w:cs="Arial"/>
          <w:sz w:val="18"/>
          <w:szCs w:val="18"/>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5431DE">
        <w:rPr>
          <w:rFonts w:ascii="Verdana" w:hAnsi="Verdana" w:cs="Arial"/>
          <w:sz w:val="18"/>
          <w:szCs w:val="18"/>
        </w:rPr>
        <w:t xml:space="preserve"> </w:t>
      </w:r>
    </w:p>
    <w:p w14:paraId="349ECAF4" w14:textId="77777777" w:rsidR="00F962A1" w:rsidRPr="005431DE" w:rsidRDefault="00F962A1" w:rsidP="00F962A1">
      <w:pPr>
        <w:pStyle w:val="Textonotapie"/>
        <w:ind w:firstLine="708"/>
        <w:jc w:val="both"/>
        <w:rPr>
          <w:rFonts w:ascii="Verdana" w:hAnsi="Verdana" w:cs="Arial"/>
          <w:sz w:val="18"/>
          <w:szCs w:val="18"/>
        </w:rPr>
      </w:pPr>
    </w:p>
  </w:footnote>
  <w:footnote w:id="8">
    <w:p w14:paraId="4ADCB148" w14:textId="77777777" w:rsidR="00F962A1" w:rsidRPr="005431DE" w:rsidRDefault="00F962A1" w:rsidP="00F962A1">
      <w:pPr>
        <w:pStyle w:val="Textonotapie"/>
        <w:ind w:firstLine="709"/>
        <w:jc w:val="both"/>
        <w:rPr>
          <w:rFonts w:ascii="Verdana" w:eastAsia="Calibri" w:hAnsi="Verdana" w:cs="Arial"/>
          <w:sz w:val="18"/>
          <w:szCs w:val="18"/>
          <w:lang w:val="es-ES_tradnl" w:eastAsia="es-ES_tradnl"/>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MARÍN, Op. Cit., pp. 64-65.</w:t>
      </w:r>
    </w:p>
    <w:p w14:paraId="0F89EB4E" w14:textId="77777777" w:rsidR="00F962A1" w:rsidRPr="005431DE" w:rsidRDefault="00F962A1" w:rsidP="00F962A1">
      <w:pPr>
        <w:pStyle w:val="Textonotapie"/>
        <w:ind w:firstLine="709"/>
        <w:jc w:val="both"/>
        <w:rPr>
          <w:rFonts w:ascii="Verdana" w:eastAsia="Calibri" w:hAnsi="Verdana" w:cs="Arial"/>
          <w:sz w:val="18"/>
          <w:szCs w:val="18"/>
          <w:lang w:val="es-ES_tradnl" w:eastAsia="es-ES_tradnl"/>
        </w:rPr>
      </w:pPr>
    </w:p>
  </w:footnote>
  <w:footnote w:id="9">
    <w:p w14:paraId="3914C223" w14:textId="77777777" w:rsidR="00F962A1" w:rsidRPr="005431DE" w:rsidRDefault="00F962A1" w:rsidP="00F962A1">
      <w:pPr>
        <w:pStyle w:val="Textonotapie"/>
        <w:ind w:firstLine="709"/>
        <w:jc w:val="both"/>
        <w:rPr>
          <w:rFonts w:ascii="Verdana" w:hAnsi="Verdana" w:cs="Arial"/>
          <w:sz w:val="18"/>
          <w:szCs w:val="18"/>
          <w:lang w:val="es-ES"/>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Ibíd., p. 66.</w:t>
      </w:r>
    </w:p>
  </w:footnote>
  <w:footnote w:id="10">
    <w:p w14:paraId="6C689865" w14:textId="77777777" w:rsidR="00F962A1" w:rsidRPr="005431DE" w:rsidRDefault="00F962A1" w:rsidP="00F962A1">
      <w:pPr>
        <w:pStyle w:val="Textonotapie"/>
        <w:ind w:firstLine="708"/>
        <w:jc w:val="both"/>
        <w:rPr>
          <w:rFonts w:ascii="Verdana" w:eastAsia="Calibri" w:hAnsi="Verdana" w:cs="Arial"/>
          <w:sz w:val="18"/>
          <w:szCs w:val="18"/>
          <w:lang w:val="es-ES_tradnl" w:eastAsia="es-ES_tradnl"/>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“Que el porcentaje sea superior o inferior, o que para una empresa sea mayor o menor que para otra, depende de muchas razones, por ejemplo: del personal que se requiera en la obra –unas empresas emplean más o menos que otras–; de la magnitud del trabajo; de las cargas administrativas que cada empresa tienen –pensionados, convenciones colectivas y otros; del tamaño de la misma –mientras más grande es la A tiende a ser mayor; del costo de los campamentos; del transporte del personal; del sitio de las obras –si la empresa tiene un domicilio en el lugar del trabajo su A tiende a ser menor, y si se encuentra en otra ciudad tiende a subir, por ejemplo porque el salario de los ingenieros se incrementa por los viáticos–”. (Ibíd, p. 76).</w:t>
      </w:r>
    </w:p>
    <w:p w14:paraId="03AB592D" w14:textId="77777777" w:rsidR="00F962A1" w:rsidRPr="005431DE" w:rsidRDefault="00F962A1" w:rsidP="00F962A1">
      <w:pPr>
        <w:pStyle w:val="Textonotapie"/>
        <w:ind w:firstLine="708"/>
        <w:jc w:val="both"/>
        <w:rPr>
          <w:rFonts w:ascii="Verdana" w:hAnsi="Verdana" w:cs="Arial"/>
          <w:bCs/>
          <w:sz w:val="18"/>
          <w:szCs w:val="18"/>
          <w:lang w:val="es-ES_tradnl"/>
        </w:rPr>
      </w:pPr>
    </w:p>
  </w:footnote>
  <w:footnote w:id="11">
    <w:p w14:paraId="5F88B7D6" w14:textId="77777777" w:rsidR="00F962A1" w:rsidRPr="003967A4" w:rsidRDefault="00F962A1" w:rsidP="00F962A1">
      <w:pPr>
        <w:pStyle w:val="Textonotapie"/>
        <w:ind w:firstLine="708"/>
        <w:jc w:val="both"/>
        <w:rPr>
          <w:rFonts w:ascii="Verdana" w:hAnsi="Verdana" w:cs="Arial"/>
          <w:sz w:val="18"/>
          <w:szCs w:val="18"/>
        </w:rPr>
      </w:pPr>
      <w:r w:rsidRPr="005431DE">
        <w:rPr>
          <w:rStyle w:val="Refdenotaalpi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Lo anterior, sin perjuicio de las fórmulas de reajuste que se establezcan en el contrato y lo establecido en el artículo 27 de la Ley 80 de 1993. En tal sentido, en los casos de desequilibrio económico, porque los costos indirectos en los que incurre el contratista exceden el alea normal, es decir, le causan una afectación grave de su economía, podría exigirle a la entidad que le pague más de lo que se estipuló en la A o en la I, siendo esta una circunstancia extraordinaria.</w:t>
      </w:r>
    </w:p>
  </w:footnote>
  <w:footnote w:id="12">
    <w:p w14:paraId="1B017831" w14:textId="77777777" w:rsidR="00F962A1" w:rsidRPr="009073D7" w:rsidRDefault="00F962A1" w:rsidP="00F962A1">
      <w:pPr>
        <w:pStyle w:val="Textonotapie"/>
        <w:ind w:firstLine="709"/>
        <w:rPr>
          <w:rFonts w:ascii="Verdana" w:hAnsi="Verdana"/>
          <w:sz w:val="18"/>
          <w:szCs w:val="18"/>
        </w:rPr>
      </w:pPr>
      <w:r w:rsidRPr="009073D7">
        <w:rPr>
          <w:rStyle w:val="Refdenotaalpie"/>
          <w:rFonts w:ascii="Verdana" w:hAnsi="Verdana"/>
          <w:sz w:val="18"/>
          <w:szCs w:val="18"/>
        </w:rPr>
        <w:footnoteRef/>
      </w:r>
      <w:r w:rsidRPr="009073D7">
        <w:rPr>
          <w:rFonts w:ascii="Verdana" w:hAnsi="Verdana"/>
          <w:sz w:val="18"/>
          <w:szCs w:val="18"/>
        </w:rPr>
        <w:t xml:space="preserve"> Artículo 2.2.1.1.2.1.1.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3188" w14:textId="32292660" w:rsidR="00050750" w:rsidRDefault="00050750">
    <w:pPr>
      <w:pStyle w:val="Encabezado"/>
    </w:pPr>
    <w:r>
      <w:rPr>
        <w:noProof/>
      </w:rPr>
      <w:pict w14:anchorId="06241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97704" o:spid="_x0000_s1026" type="#_x0000_t136" style="position:absolute;margin-left:0;margin-top:0;width:551.1pt;height:71.85pt;rotation:315;z-index:-251646976;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2464" w14:textId="5ABE040E" w:rsidR="00756841" w:rsidRDefault="00050750">
    <w:pPr>
      <w:pStyle w:val="Encabezado"/>
    </w:pPr>
    <w:r>
      <w:rPr>
        <w:noProof/>
      </w:rPr>
      <w:pict w14:anchorId="566AD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97705" o:spid="_x0000_s1027" type="#_x0000_t136" style="position:absolute;margin-left:0;margin-top:0;width:551.1pt;height:71.85pt;rotation:315;z-index:-251644928;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D3058">
      <w:rPr>
        <w:rFonts w:ascii="Geomanist Bold" w:hAnsi="Geomanist Bold"/>
        <w:b/>
        <w:bCs/>
        <w:noProof/>
        <w:color w:val="002060"/>
        <w:sz w:val="24"/>
        <w:szCs w:val="24"/>
      </w:rPr>
      <w:drawing>
        <wp:anchor distT="0" distB="0" distL="114300" distR="114300" simplePos="0" relativeHeight="251665408" behindDoc="1" locked="0" layoutInCell="1" allowOverlap="1" wp14:anchorId="196E2864" wp14:editId="321053A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3766FB66" wp14:editId="04C752F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C71F58F" w14:textId="77777777" w:rsidR="00756841" w:rsidRDefault="00756841">
    <w:pPr>
      <w:pStyle w:val="Encabezado"/>
    </w:pPr>
  </w:p>
  <w:p w14:paraId="7AE631A2" w14:textId="77777777" w:rsidR="00DC39FC" w:rsidRDefault="00DC39FC" w:rsidP="004A305D">
    <w:pPr>
      <w:spacing w:after="0"/>
      <w:rPr>
        <w:rFonts w:ascii="Verdana" w:hAnsi="Verdana"/>
        <w:b/>
        <w:bCs/>
      </w:rPr>
    </w:pPr>
  </w:p>
  <w:p w14:paraId="6C0B0704" w14:textId="77777777" w:rsidR="004A305D" w:rsidRPr="00DC39FC" w:rsidRDefault="004A305D" w:rsidP="004A305D">
    <w:pPr>
      <w:spacing w:after="0"/>
      <w:rPr>
        <w:rFonts w:ascii="Verdana" w:hAnsi="Verdana"/>
        <w:b/>
        <w:bCs/>
      </w:rPr>
    </w:pPr>
    <w:r w:rsidRPr="00DC39FC">
      <w:rPr>
        <w:rFonts w:ascii="Verdana" w:hAnsi="Verdana"/>
        <w:b/>
        <w:bCs/>
      </w:rPr>
      <w:t>FORMATO PQRSD</w:t>
    </w:r>
  </w:p>
  <w:p w14:paraId="7E190555" w14:textId="77777777" w:rsidR="004A305D" w:rsidRPr="004A305D" w:rsidRDefault="004A305D" w:rsidP="00B01B1A">
    <w:pPr>
      <w:spacing w:after="0" w:line="120" w:lineRule="auto"/>
      <w:rPr>
        <w:rFonts w:ascii="Century Gothic" w:eastAsia="Geo" w:hAnsi="Century Gothic" w:cs="Geo"/>
        <w:sz w:val="16"/>
        <w:szCs w:val="16"/>
        <w:lang w:eastAsia="es-CO"/>
      </w:rPr>
    </w:pPr>
  </w:p>
  <w:p w14:paraId="20EE88D7" w14:textId="77777777"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1E73" w14:textId="3034FDF0" w:rsidR="00050750" w:rsidRDefault="00050750">
    <w:pPr>
      <w:pStyle w:val="Encabezado"/>
    </w:pPr>
    <w:r>
      <w:rPr>
        <w:noProof/>
      </w:rPr>
      <w:pict w14:anchorId="1736E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97703" o:spid="_x0000_s1025" type="#_x0000_t136" style="position:absolute;margin-left:0;margin-top:0;width:551.1pt;height:71.85pt;rotation:315;z-index:-251649024;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942B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8592996" o:spid="_x0000_i1025" type="#_x0000_t75" style="width:11.4pt;height:11.4pt;visibility:visible;mso-wrap-style:square">
            <v:imagedata r:id="rId1" o:title=""/>
          </v:shape>
        </w:pict>
      </mc:Choice>
      <mc:Fallback>
        <w:drawing>
          <wp:inline distT="0" distB="0" distL="0" distR="0" wp14:anchorId="707573CF" wp14:editId="64E8B253">
            <wp:extent cx="144780" cy="144780"/>
            <wp:effectExtent l="0" t="0" r="0" b="0"/>
            <wp:docPr id="258592996" name="Imagen 25859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25FEEF8E"/>
    <w:lvl w:ilvl="0">
      <w:start w:val="1"/>
      <w:numFmt w:val="decimal"/>
      <w:lvlText w:val="%1."/>
      <w:lvlJc w:val="left"/>
      <w:pPr>
        <w:ind w:left="6597"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62C3D"/>
    <w:multiLevelType w:val="hybridMultilevel"/>
    <w:tmpl w:val="5832E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3827"/>
    <w:multiLevelType w:val="hybridMultilevel"/>
    <w:tmpl w:val="340647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7E67F1C"/>
    <w:multiLevelType w:val="hybridMultilevel"/>
    <w:tmpl w:val="F9C0E634"/>
    <w:lvl w:ilvl="0" w:tplc="240A0015">
      <w:start w:val="1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FC3E91"/>
    <w:multiLevelType w:val="hybridMultilevel"/>
    <w:tmpl w:val="47921F22"/>
    <w:lvl w:ilvl="0" w:tplc="73B2DB1C">
      <w:start w:val="17"/>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22D924E0"/>
    <w:multiLevelType w:val="hybridMultilevel"/>
    <w:tmpl w:val="BE2E6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F5734B"/>
    <w:multiLevelType w:val="hybridMultilevel"/>
    <w:tmpl w:val="AC28F3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13506"/>
    <w:multiLevelType w:val="hybridMultilevel"/>
    <w:tmpl w:val="D19E5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8E5EF0"/>
    <w:multiLevelType w:val="hybridMultilevel"/>
    <w:tmpl w:val="FFFFFFFF"/>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C3479E6"/>
    <w:multiLevelType w:val="hybridMultilevel"/>
    <w:tmpl w:val="44444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E17B7C"/>
    <w:multiLevelType w:val="hybridMultilevel"/>
    <w:tmpl w:val="83365840"/>
    <w:lvl w:ilvl="0" w:tplc="2F869AFE">
      <w:start w:val="1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1" w15:restartNumberingAfterBreak="0">
    <w:nsid w:val="62DD0073"/>
    <w:multiLevelType w:val="hybridMultilevel"/>
    <w:tmpl w:val="BAB4F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3" w15:restartNumberingAfterBreak="0">
    <w:nsid w:val="66786944"/>
    <w:multiLevelType w:val="multilevel"/>
    <w:tmpl w:val="548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2598B"/>
    <w:multiLevelType w:val="hybridMultilevel"/>
    <w:tmpl w:val="DC1CE0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B8F24FB"/>
    <w:multiLevelType w:val="hybridMultilevel"/>
    <w:tmpl w:val="35A68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966EF"/>
    <w:multiLevelType w:val="hybridMultilevel"/>
    <w:tmpl w:val="1D665CA2"/>
    <w:lvl w:ilvl="0" w:tplc="83B8A39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F31C25"/>
    <w:multiLevelType w:val="hybridMultilevel"/>
    <w:tmpl w:val="E5185D8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14"/>
  </w:num>
  <w:num w:numId="2" w16cid:durableId="19822139">
    <w:abstractNumId w:val="2"/>
  </w:num>
  <w:num w:numId="3" w16cid:durableId="876742304">
    <w:abstractNumId w:val="11"/>
  </w:num>
  <w:num w:numId="4" w16cid:durableId="245186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8"/>
  </w:num>
  <w:num w:numId="7" w16cid:durableId="1946422806">
    <w:abstractNumId w:val="13"/>
  </w:num>
  <w:num w:numId="8" w16cid:durableId="152644682">
    <w:abstractNumId w:val="27"/>
  </w:num>
  <w:num w:numId="9" w16cid:durableId="1317221377">
    <w:abstractNumId w:val="15"/>
  </w:num>
  <w:num w:numId="10" w16cid:durableId="1471245386">
    <w:abstractNumId w:val="26"/>
  </w:num>
  <w:num w:numId="11" w16cid:durableId="289172385">
    <w:abstractNumId w:val="16"/>
  </w:num>
  <w:num w:numId="12" w16cid:durableId="1470781324">
    <w:abstractNumId w:val="1"/>
  </w:num>
  <w:num w:numId="13" w16cid:durableId="1512908409">
    <w:abstractNumId w:val="9"/>
  </w:num>
  <w:num w:numId="14" w16cid:durableId="895897244">
    <w:abstractNumId w:val="29"/>
  </w:num>
  <w:num w:numId="15" w16cid:durableId="390349800">
    <w:abstractNumId w:val="22"/>
  </w:num>
  <w:num w:numId="16" w16cid:durableId="341274352">
    <w:abstractNumId w:val="0"/>
  </w:num>
  <w:num w:numId="17" w16cid:durableId="474571350">
    <w:abstractNumId w:val="23"/>
  </w:num>
  <w:num w:numId="18" w16cid:durableId="1548638932">
    <w:abstractNumId w:val="30"/>
  </w:num>
  <w:num w:numId="19" w16cid:durableId="1049650195">
    <w:abstractNumId w:val="5"/>
  </w:num>
  <w:num w:numId="20" w16cid:durableId="308944988">
    <w:abstractNumId w:val="12"/>
  </w:num>
  <w:num w:numId="21" w16cid:durableId="1710839854">
    <w:abstractNumId w:val="19"/>
  </w:num>
  <w:num w:numId="22" w16cid:durableId="2062749771">
    <w:abstractNumId w:val="18"/>
  </w:num>
  <w:num w:numId="23" w16cid:durableId="811993101">
    <w:abstractNumId w:val="20"/>
  </w:num>
  <w:num w:numId="24" w16cid:durableId="1639647450">
    <w:abstractNumId w:val="6"/>
  </w:num>
  <w:num w:numId="25" w16cid:durableId="1563708483">
    <w:abstractNumId w:val="24"/>
  </w:num>
  <w:num w:numId="26" w16cid:durableId="257299160">
    <w:abstractNumId w:val="4"/>
  </w:num>
  <w:num w:numId="27" w16cid:durableId="740952727">
    <w:abstractNumId w:val="21"/>
  </w:num>
  <w:num w:numId="28" w16cid:durableId="2009864106">
    <w:abstractNumId w:val="3"/>
  </w:num>
  <w:num w:numId="29" w16cid:durableId="331764341">
    <w:abstractNumId w:val="7"/>
  </w:num>
  <w:num w:numId="30" w16cid:durableId="559948309">
    <w:abstractNumId w:val="10"/>
  </w:num>
  <w:num w:numId="31" w16cid:durableId="612131452">
    <w:abstractNumId w:val="25"/>
  </w:num>
  <w:num w:numId="32" w16cid:durableId="1619528795">
    <w:abstractNumId w:val="8"/>
  </w:num>
  <w:num w:numId="33" w16cid:durableId="951862856">
    <w:abstractNumId w:val="31"/>
  </w:num>
  <w:num w:numId="34" w16cid:durableId="6790895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0750"/>
    <w:rsid w:val="00061B2A"/>
    <w:rsid w:val="00082362"/>
    <w:rsid w:val="00087D3F"/>
    <w:rsid w:val="000A683E"/>
    <w:rsid w:val="000B19B9"/>
    <w:rsid w:val="000D0334"/>
    <w:rsid w:val="000E0468"/>
    <w:rsid w:val="000F6486"/>
    <w:rsid w:val="00125105"/>
    <w:rsid w:val="00127233"/>
    <w:rsid w:val="00136FED"/>
    <w:rsid w:val="001511A0"/>
    <w:rsid w:val="00177B17"/>
    <w:rsid w:val="00195A45"/>
    <w:rsid w:val="001C28ED"/>
    <w:rsid w:val="001E4177"/>
    <w:rsid w:val="001F7DC6"/>
    <w:rsid w:val="00236E89"/>
    <w:rsid w:val="002421BB"/>
    <w:rsid w:val="0025796E"/>
    <w:rsid w:val="002707A2"/>
    <w:rsid w:val="002951A0"/>
    <w:rsid w:val="00295566"/>
    <w:rsid w:val="002962BC"/>
    <w:rsid w:val="002A093D"/>
    <w:rsid w:val="002A0DD0"/>
    <w:rsid w:val="002A32A2"/>
    <w:rsid w:val="002A49AC"/>
    <w:rsid w:val="002A64FD"/>
    <w:rsid w:val="002C7A84"/>
    <w:rsid w:val="002E4FD9"/>
    <w:rsid w:val="00315039"/>
    <w:rsid w:val="00322A85"/>
    <w:rsid w:val="00324168"/>
    <w:rsid w:val="003448F4"/>
    <w:rsid w:val="00374F5E"/>
    <w:rsid w:val="00377E3E"/>
    <w:rsid w:val="003A779E"/>
    <w:rsid w:val="003D0F4D"/>
    <w:rsid w:val="003D5B0D"/>
    <w:rsid w:val="003E0499"/>
    <w:rsid w:val="003F3941"/>
    <w:rsid w:val="00406575"/>
    <w:rsid w:val="0041316E"/>
    <w:rsid w:val="00414C74"/>
    <w:rsid w:val="00421144"/>
    <w:rsid w:val="0042722E"/>
    <w:rsid w:val="0044528D"/>
    <w:rsid w:val="004A1847"/>
    <w:rsid w:val="004A305D"/>
    <w:rsid w:val="004F21C4"/>
    <w:rsid w:val="004F685F"/>
    <w:rsid w:val="005538BF"/>
    <w:rsid w:val="005566E8"/>
    <w:rsid w:val="00574867"/>
    <w:rsid w:val="00591460"/>
    <w:rsid w:val="005A5C5B"/>
    <w:rsid w:val="005B3816"/>
    <w:rsid w:val="005C3777"/>
    <w:rsid w:val="005C5CDC"/>
    <w:rsid w:val="005D2F82"/>
    <w:rsid w:val="005D476C"/>
    <w:rsid w:val="006119CE"/>
    <w:rsid w:val="006219F8"/>
    <w:rsid w:val="00665D70"/>
    <w:rsid w:val="006900D9"/>
    <w:rsid w:val="00706C16"/>
    <w:rsid w:val="00756841"/>
    <w:rsid w:val="007649AB"/>
    <w:rsid w:val="00771D0C"/>
    <w:rsid w:val="00780E4A"/>
    <w:rsid w:val="007833AC"/>
    <w:rsid w:val="007B268C"/>
    <w:rsid w:val="007B7171"/>
    <w:rsid w:val="007C0C0F"/>
    <w:rsid w:val="007C3DC2"/>
    <w:rsid w:val="007E5497"/>
    <w:rsid w:val="007F3995"/>
    <w:rsid w:val="007F58BE"/>
    <w:rsid w:val="00806F5F"/>
    <w:rsid w:val="00820278"/>
    <w:rsid w:val="00867F95"/>
    <w:rsid w:val="008843B6"/>
    <w:rsid w:val="00891928"/>
    <w:rsid w:val="008A446D"/>
    <w:rsid w:val="008D180B"/>
    <w:rsid w:val="008F0EA7"/>
    <w:rsid w:val="008F481C"/>
    <w:rsid w:val="00923EEF"/>
    <w:rsid w:val="00926DF6"/>
    <w:rsid w:val="009273A6"/>
    <w:rsid w:val="009419F9"/>
    <w:rsid w:val="0095685E"/>
    <w:rsid w:val="00961B09"/>
    <w:rsid w:val="00965334"/>
    <w:rsid w:val="0097093E"/>
    <w:rsid w:val="00986AC5"/>
    <w:rsid w:val="009A0DFA"/>
    <w:rsid w:val="009A47B9"/>
    <w:rsid w:val="009B2D26"/>
    <w:rsid w:val="009C71FA"/>
    <w:rsid w:val="009C72E7"/>
    <w:rsid w:val="009D3058"/>
    <w:rsid w:val="009D7B98"/>
    <w:rsid w:val="009F14E2"/>
    <w:rsid w:val="009F3A13"/>
    <w:rsid w:val="00A122D3"/>
    <w:rsid w:val="00A17F13"/>
    <w:rsid w:val="00A20739"/>
    <w:rsid w:val="00A20F7B"/>
    <w:rsid w:val="00A33C78"/>
    <w:rsid w:val="00A86F9B"/>
    <w:rsid w:val="00A95CBF"/>
    <w:rsid w:val="00AB0ADB"/>
    <w:rsid w:val="00B01B1A"/>
    <w:rsid w:val="00B66319"/>
    <w:rsid w:val="00B72CD3"/>
    <w:rsid w:val="00B72FFF"/>
    <w:rsid w:val="00BC3D36"/>
    <w:rsid w:val="00BD2787"/>
    <w:rsid w:val="00BD580E"/>
    <w:rsid w:val="00BD7F72"/>
    <w:rsid w:val="00C04FB3"/>
    <w:rsid w:val="00C053A9"/>
    <w:rsid w:val="00C330EB"/>
    <w:rsid w:val="00C41061"/>
    <w:rsid w:val="00C52DE2"/>
    <w:rsid w:val="00C754BE"/>
    <w:rsid w:val="00C76B1C"/>
    <w:rsid w:val="00CB6357"/>
    <w:rsid w:val="00CC1B26"/>
    <w:rsid w:val="00D40836"/>
    <w:rsid w:val="00D423A2"/>
    <w:rsid w:val="00D520D8"/>
    <w:rsid w:val="00D56872"/>
    <w:rsid w:val="00D63AC2"/>
    <w:rsid w:val="00D7383B"/>
    <w:rsid w:val="00DA231B"/>
    <w:rsid w:val="00DC39FC"/>
    <w:rsid w:val="00DC5CE7"/>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962A1"/>
    <w:rsid w:val="00FA47C0"/>
    <w:rsid w:val="00FB3257"/>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442A"/>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95A45"/>
    <w:rPr>
      <w:rFonts w:ascii="Geomanist Light" w:hAnsi="Geomanist Light"/>
      <w:lang w:val="es-ES"/>
    </w:rPr>
  </w:style>
  <w:style w:type="table" w:customStyle="1" w:styleId="Tablaconcuadrcula11">
    <w:name w:val="Tabla con cuadrícula11"/>
    <w:basedOn w:val="Tablanormal"/>
    <w:next w:val="Tablaconcuadrcula"/>
    <w:uiPriority w:val="59"/>
    <w:qFormat/>
    <w:rsid w:val="00195A45"/>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962A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03-documentos-tipo-para-los-procesos-de-seleccion-de-interventoria-de-obra-publica-de&amp;data=05%7C02%7Cximena.rios%40colombiacompra.gov.co%7Cb18b651bca3a4eb8eab008dd269b400d%7C7b09041e245149d08cb179d5e3d8c1be%7C0%7C0%7C638709170415946237%7CUnknown%7CTWFpbGZsb3d8eyJFbXB0eU1hcGkiOnRydWUsIlYiOiIwLjAuMDAwMCIsIlAiOiJXaW4zMiIsIkFOIjoiTWFpbCIsIldUIjoyfQ%3D%3D%7C0%7C%7C%7C&amp;sdata=1GvI7Yx0JQEIwIykRXFLZSiX4GHDOPkOEMS66ET3er0%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infraestructura-de-transporte-vers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ximena.rios%40colombiacompra.gov.co%7Cb18b651bca3a4eb8eab008dd269b400d%7C7b09041e245149d08cb179d5e3d8c1be%7C0%7C0%7C638709170415983506%7CUnknown%7CTWFpbGZsb3d8eyJFbXB0eU1hcGkiOnRydWUsIlYiOiIwLjAuMDAwMCIsIlAiOiJXaW4zMiIsIkFOIjoiTWFpbCIsIldUIjoyfQ%3D%3D%7C0%7C%7C%7C&amp;sdata=ZkYtrHLF1bazAWxOaabSxGDAKfkMszgd6IHkLr4Zmac%3D&amp;reserved=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2-documentos-tipo-para-los-procesos-de-seleccion-de-consultoria-de-obra-publica-de&amp;data=05%7C02%7Cximena.rios%40colombiacompra.gov.co%7Cb18b651bca3a4eb8eab008dd269b400d%7C7b09041e245149d08cb179d5e3d8c1be%7C0%7C0%7C638709170415968117%7CUnknown%7CTWFpbGZsb3d8eyJFbXB0eU1hcGkiOnRydWUsIlYiOiIwLjAuMDAwMCIsIlAiOiJXaW4zMiIsIkFOIjoiTWFpbCIsIldUIjoyfQ%3D%3D%7C0%7C%7C%7C&amp;sdata=Gvl%2Bp%2FTQ3k%2FE2H%2BHJic7EseWWuocXUihRhj9K%2BVHea8%3D&amp;reserved=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D11F9-68B3-430A-99AA-9C1DE797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6739</Words>
  <Characters>37066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Sosingetec</cp:lastModifiedBy>
  <cp:revision>6</cp:revision>
  <cp:lastPrinted>2023-01-10T21:18:00Z</cp:lastPrinted>
  <dcterms:created xsi:type="dcterms:W3CDTF">2025-02-03T21:22:00Z</dcterms:created>
  <dcterms:modified xsi:type="dcterms:W3CDTF">2025-02-17T23:04:00Z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