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DD73" w14:textId="7AFBE85F" w:rsidR="0039727B" w:rsidRPr="002E12CB" w:rsidRDefault="0039727B" w:rsidP="0039727B">
      <w:pPr>
        <w:spacing w:after="0"/>
        <w:jc w:val="both"/>
        <w:rPr>
          <w:rFonts w:ascii="Verdana" w:hAnsi="Verdana"/>
        </w:rPr>
      </w:pPr>
      <w:r w:rsidRPr="002E12CB">
        <w:rPr>
          <w:rFonts w:ascii="Verdana" w:eastAsia="Aptos" w:hAnsi="Verdana" w:cs="Arial"/>
          <w:b/>
          <w:color w:val="000000"/>
          <w:kern w:val="2"/>
          <w:lang w:val="es-ES_tradnl"/>
          <w14:ligatures w14:val="standardContextual"/>
        </w:rPr>
        <w:t>CAUSALES DE RECHAZO – Principio de legalidad – Configuración – Documentos Tipo</w:t>
      </w:r>
    </w:p>
    <w:p w14:paraId="09BD28AC" w14:textId="77777777" w:rsidR="0039727B" w:rsidRPr="0039727B" w:rsidRDefault="0039727B" w:rsidP="0039727B">
      <w:pPr>
        <w:spacing w:after="0" w:line="276" w:lineRule="auto"/>
        <w:jc w:val="both"/>
        <w:rPr>
          <w:rFonts w:ascii="Verdana" w:eastAsia="Aptos" w:hAnsi="Verdana" w:cs="Arial"/>
          <w:bCs/>
          <w:color w:val="000000"/>
          <w:kern w:val="2"/>
          <w:lang w:val="es-ES_tradnl"/>
          <w14:ligatures w14:val="standardContextual"/>
        </w:rPr>
      </w:pPr>
    </w:p>
    <w:p w14:paraId="38CE0230" w14:textId="07F1F55D" w:rsidR="0039727B" w:rsidRPr="0039727B" w:rsidRDefault="008810B3" w:rsidP="0039727B">
      <w:pPr>
        <w:spacing w:after="0" w:line="240" w:lineRule="auto"/>
        <w:jc w:val="both"/>
        <w:rPr>
          <w:rFonts w:ascii="Verdana" w:eastAsia="Aptos" w:hAnsi="Verdana" w:cs="Arial"/>
          <w:bCs/>
          <w:color w:val="000000"/>
          <w:kern w:val="2"/>
          <w:sz w:val="20"/>
          <w:szCs w:val="20"/>
          <w:lang w:val="es-ES_tradnl"/>
          <w14:ligatures w14:val="standardContextual"/>
        </w:rPr>
      </w:pPr>
      <w:r w:rsidRPr="008810B3">
        <w:rPr>
          <w:rFonts w:ascii="Verdana" w:eastAsia="Aptos" w:hAnsi="Verdana" w:cs="Arial"/>
          <w:bCs/>
          <w:color w:val="000000"/>
          <w:kern w:val="2"/>
          <w:sz w:val="20"/>
          <w:szCs w:val="20"/>
          <w:lang w:val="es-ES_tradnl"/>
          <w14:ligatures w14:val="standardContextual"/>
        </w:rPr>
        <w:t>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 señal</w:t>
      </w:r>
      <w:r w:rsidR="00CF465F">
        <w:rPr>
          <w:rFonts w:ascii="Verdana" w:eastAsia="Aptos" w:hAnsi="Verdana" w:cs="Arial"/>
          <w:bCs/>
          <w:color w:val="000000"/>
          <w:kern w:val="2"/>
          <w:sz w:val="20"/>
          <w:szCs w:val="20"/>
          <w:lang w:val="es-ES_tradnl"/>
          <w14:ligatures w14:val="standardContextual"/>
        </w:rPr>
        <w:t>a</w:t>
      </w:r>
      <w:r w:rsidR="0039727B" w:rsidRPr="0039727B">
        <w:rPr>
          <w:rFonts w:ascii="Verdana" w:eastAsia="Aptos" w:hAnsi="Verdana" w:cs="Arial"/>
          <w:bCs/>
          <w:color w:val="000000"/>
          <w:kern w:val="2"/>
          <w:sz w:val="20"/>
          <w:szCs w:val="20"/>
          <w:lang w:val="es-ES_tradnl"/>
          <w14:ligatures w14:val="standardContextual"/>
        </w:rPr>
        <w:t>: […]</w:t>
      </w:r>
    </w:p>
    <w:p w14:paraId="5236ABA6" w14:textId="77777777" w:rsidR="0039727B" w:rsidRPr="0039727B" w:rsidRDefault="0039727B" w:rsidP="0039727B">
      <w:pPr>
        <w:spacing w:after="0" w:line="276" w:lineRule="auto"/>
        <w:jc w:val="both"/>
        <w:rPr>
          <w:rFonts w:ascii="Verdana" w:eastAsia="Aptos" w:hAnsi="Verdana" w:cs="Arial"/>
          <w:bCs/>
          <w:color w:val="000000"/>
          <w:kern w:val="2"/>
          <w:lang w:val="es-ES_tradnl"/>
          <w14:ligatures w14:val="standardContextual"/>
        </w:rPr>
      </w:pPr>
    </w:p>
    <w:p w14:paraId="1663F2B2" w14:textId="77777777" w:rsidR="0039727B" w:rsidRPr="0039727B" w:rsidRDefault="0039727B" w:rsidP="0039727B">
      <w:pPr>
        <w:spacing w:after="0" w:line="276" w:lineRule="auto"/>
        <w:jc w:val="both"/>
        <w:rPr>
          <w:rFonts w:ascii="Verdana" w:eastAsia="Aptos" w:hAnsi="Verdana" w:cs="Arial"/>
          <w:b/>
          <w:color w:val="000000"/>
          <w:kern w:val="2"/>
          <w:lang w:val="es-ES_tradnl"/>
          <w14:ligatures w14:val="standardContextual"/>
        </w:rPr>
      </w:pPr>
      <w:r w:rsidRPr="0039727B">
        <w:rPr>
          <w:rFonts w:ascii="Verdana" w:eastAsia="Aptos" w:hAnsi="Verdana" w:cs="Arial"/>
          <w:b/>
          <w:color w:val="000000"/>
          <w:kern w:val="2"/>
          <w:lang w:val="es-ES_tradnl"/>
          <w14:ligatures w14:val="standardContextual"/>
        </w:rPr>
        <w:t>GUÍA PARA DETERMINAR Y VERIFICAR LA CAPACIDAD RESIDUAL DEL PROPONENTE EN LOS PROCESOS DE CONTRATACIÓN DE OBRA PÚBLICA – Cálculo de la Capacidad Residual del Proponente – Anexo 1 – Certificación de contratos para acreditación de Experiencia (E) – Obligatoriedad</w:t>
      </w:r>
    </w:p>
    <w:p w14:paraId="13626604" w14:textId="77777777" w:rsidR="0039727B" w:rsidRPr="0039727B" w:rsidRDefault="0039727B" w:rsidP="0039727B">
      <w:pPr>
        <w:spacing w:after="0" w:line="276" w:lineRule="auto"/>
        <w:jc w:val="both"/>
        <w:rPr>
          <w:rFonts w:ascii="Verdana" w:eastAsia="Aptos" w:hAnsi="Verdana" w:cs="Arial"/>
          <w:b/>
          <w:color w:val="000000"/>
          <w:kern w:val="2"/>
          <w:lang w:val="es-ES_tradnl"/>
          <w14:ligatures w14:val="standardContextual"/>
        </w:rPr>
      </w:pPr>
    </w:p>
    <w:p w14:paraId="3D53437D" w14:textId="6D375836" w:rsidR="00CF465F" w:rsidRPr="00CF465F" w:rsidRDefault="00CF465F" w:rsidP="00CF465F">
      <w:pPr>
        <w:spacing w:after="0" w:line="240" w:lineRule="auto"/>
        <w:jc w:val="both"/>
        <w:rPr>
          <w:rFonts w:ascii="Verdana" w:eastAsia="Calibri" w:hAnsi="Verdana" w:cs="Calibri"/>
          <w:sz w:val="20"/>
          <w:szCs w:val="20"/>
        </w:rPr>
      </w:pPr>
      <w:r w:rsidRPr="00CF465F">
        <w:rPr>
          <w:rFonts w:ascii="Verdana" w:eastAsia="Calibri" w:hAnsi="Verdana" w:cs="Calibri"/>
          <w:sz w:val="20"/>
          <w:szCs w:val="20"/>
        </w:rPr>
        <w:t>Es necesario indicar que el documento “GUÍA PARA DETERMINAR Y VERIFICAR LA CAPACIDAD RESIDUAL DEL PROPONENTE EN LOS PROCESOS DE CONTRATACIÓN DE OBRA PÚBLICA” de Colombia Compra Eficiente, que se indica en el numeral 3.10.2. CÁLCULO DE LA CAPACIDAD RESIDUAL DEL PROPONENTE (CRP) del documento base de los documentos tipo de infraestructura de transporte, es la Guía que se recomienda para establecer la capacidad residual, disponible en la página web: https://www.colombiacompra.gov.co/manuales-guias-y-pliegos-tipo/manuales-y-guias/, así como el aplicativo para tal fin por Colombia Compra Eficiente.</w:t>
      </w:r>
    </w:p>
    <w:p w14:paraId="0259225E" w14:textId="77777777" w:rsidR="00CF465F" w:rsidRDefault="00CF465F" w:rsidP="00CF465F">
      <w:pPr>
        <w:spacing w:after="0" w:line="240" w:lineRule="auto"/>
        <w:jc w:val="both"/>
        <w:rPr>
          <w:rFonts w:ascii="Verdana" w:eastAsia="Calibri" w:hAnsi="Verdana" w:cs="Calibri"/>
          <w:sz w:val="20"/>
          <w:szCs w:val="20"/>
        </w:rPr>
      </w:pPr>
    </w:p>
    <w:p w14:paraId="0BB8F149" w14:textId="77777777" w:rsidR="00CF465F" w:rsidRDefault="00CF465F" w:rsidP="0039727B">
      <w:pPr>
        <w:spacing w:after="0" w:line="240" w:lineRule="auto"/>
        <w:jc w:val="both"/>
        <w:rPr>
          <w:rFonts w:ascii="Verdana" w:eastAsia="Calibri" w:hAnsi="Verdana" w:cs="Calibri"/>
          <w:sz w:val="20"/>
          <w:szCs w:val="20"/>
        </w:rPr>
      </w:pPr>
      <w:r w:rsidRPr="00CF465F">
        <w:rPr>
          <w:rFonts w:ascii="Verdana" w:eastAsia="Calibri" w:hAnsi="Verdana" w:cs="Calibri"/>
          <w:sz w:val="20"/>
          <w:szCs w:val="20"/>
        </w:rPr>
        <w:t>Es importante señalar que el Documento Base –de los documentos tipo de licitación de obra pública de infraestructura de transporte, los cuales se tendrán en cuenta para el desarrollo de esta consulta–, en el numeral 3.5., establece las consideraciones para que los proponentes acrediten su experiencia, así:</w:t>
      </w:r>
    </w:p>
    <w:p w14:paraId="179559BC" w14:textId="1158837C" w:rsidR="0039727B" w:rsidRPr="0039727B" w:rsidRDefault="0039727B" w:rsidP="0039727B">
      <w:pPr>
        <w:spacing w:after="0" w:line="240" w:lineRule="auto"/>
        <w:jc w:val="both"/>
        <w:rPr>
          <w:rFonts w:ascii="Verdana" w:eastAsia="Calibri" w:hAnsi="Verdana" w:cs="Calibri"/>
          <w:sz w:val="20"/>
          <w:szCs w:val="20"/>
        </w:rPr>
      </w:pPr>
      <w:r w:rsidRPr="0039727B">
        <w:rPr>
          <w:rFonts w:ascii="Verdana" w:eastAsia="Calibri" w:hAnsi="Verdana" w:cs="Calibri"/>
          <w:sz w:val="20"/>
          <w:szCs w:val="20"/>
        </w:rPr>
        <w:t>[…]</w:t>
      </w:r>
    </w:p>
    <w:p w14:paraId="57A0475B" w14:textId="77777777" w:rsidR="0039727B" w:rsidRPr="0039727B" w:rsidRDefault="0039727B" w:rsidP="0039727B">
      <w:pPr>
        <w:spacing w:after="0" w:line="240" w:lineRule="auto"/>
        <w:rPr>
          <w:rFonts w:ascii="Verdana" w:eastAsia="Geomanist Light" w:hAnsi="Verdana" w:cs="Arial"/>
          <w:sz w:val="20"/>
          <w:szCs w:val="20"/>
          <w:lang w:val="es-MX"/>
        </w:rPr>
      </w:pPr>
    </w:p>
    <w:p w14:paraId="3ADE4188" w14:textId="77777777" w:rsidR="0039727B" w:rsidRPr="0039727B" w:rsidRDefault="0039727B" w:rsidP="0039727B">
      <w:pPr>
        <w:spacing w:after="0" w:line="276" w:lineRule="auto"/>
        <w:jc w:val="both"/>
        <w:rPr>
          <w:rFonts w:ascii="Verdana" w:eastAsia="Geomanist Light" w:hAnsi="Verdana" w:cs="Arial"/>
          <w:lang w:val="es-MX"/>
        </w:rPr>
      </w:pPr>
    </w:p>
    <w:p w14:paraId="7B84BF37" w14:textId="77777777" w:rsidR="0039727B" w:rsidRPr="0039727B" w:rsidRDefault="0039727B" w:rsidP="0039727B">
      <w:pPr>
        <w:spacing w:after="0" w:line="276" w:lineRule="auto"/>
        <w:jc w:val="both"/>
        <w:rPr>
          <w:rFonts w:ascii="Verdana" w:eastAsia="Calibri" w:hAnsi="Verdana" w:cs="Times New Roman"/>
        </w:rPr>
      </w:pPr>
    </w:p>
    <w:p w14:paraId="2EA8A5C1" w14:textId="77777777" w:rsidR="0039727B" w:rsidRPr="0039727B" w:rsidRDefault="0039727B" w:rsidP="0039727B">
      <w:pPr>
        <w:spacing w:after="0" w:line="240" w:lineRule="auto"/>
        <w:jc w:val="both"/>
        <w:rPr>
          <w:rFonts w:ascii="Verdana" w:eastAsia="Calibri" w:hAnsi="Verdana" w:cs="Times New Roman"/>
        </w:rPr>
      </w:pPr>
    </w:p>
    <w:p w14:paraId="16EBB1DC" w14:textId="77777777" w:rsidR="0039727B" w:rsidRPr="0039727B" w:rsidRDefault="0039727B" w:rsidP="0039727B">
      <w:pPr>
        <w:spacing w:after="0" w:line="240" w:lineRule="auto"/>
        <w:jc w:val="both"/>
        <w:rPr>
          <w:rFonts w:ascii="Verdana" w:eastAsia="Calibri" w:hAnsi="Verdana" w:cs="Times New Roman"/>
        </w:rPr>
      </w:pPr>
    </w:p>
    <w:p w14:paraId="6B13091B" w14:textId="77777777" w:rsidR="0039727B" w:rsidRPr="0039727B" w:rsidRDefault="0039727B" w:rsidP="0039727B">
      <w:pPr>
        <w:spacing w:after="0" w:line="240" w:lineRule="auto"/>
        <w:jc w:val="both"/>
        <w:rPr>
          <w:rFonts w:ascii="Verdana" w:eastAsia="Calibri" w:hAnsi="Verdana" w:cs="Times New Roman"/>
        </w:rPr>
      </w:pPr>
    </w:p>
    <w:p w14:paraId="545135E3" w14:textId="77777777" w:rsidR="0039727B" w:rsidRPr="0039727B" w:rsidRDefault="0039727B" w:rsidP="0039727B">
      <w:pPr>
        <w:spacing w:after="0" w:line="240" w:lineRule="auto"/>
        <w:jc w:val="both"/>
        <w:rPr>
          <w:rFonts w:ascii="Verdana" w:eastAsia="Calibri" w:hAnsi="Verdana" w:cs="Times New Roman"/>
        </w:rPr>
      </w:pPr>
    </w:p>
    <w:p w14:paraId="4A8D20A7" w14:textId="77777777" w:rsidR="0039727B" w:rsidRPr="0039727B" w:rsidRDefault="0039727B" w:rsidP="0039727B">
      <w:pPr>
        <w:spacing w:after="0" w:line="240" w:lineRule="auto"/>
        <w:jc w:val="both"/>
        <w:rPr>
          <w:rFonts w:ascii="Verdana" w:eastAsia="Calibri" w:hAnsi="Verdana" w:cs="Times New Roman"/>
        </w:rPr>
      </w:pPr>
    </w:p>
    <w:p w14:paraId="232A82AF" w14:textId="77777777" w:rsidR="0039727B" w:rsidRPr="0039727B" w:rsidRDefault="0039727B" w:rsidP="0039727B">
      <w:pPr>
        <w:spacing w:after="0" w:line="240" w:lineRule="auto"/>
        <w:jc w:val="both"/>
        <w:rPr>
          <w:rFonts w:ascii="Verdana" w:eastAsia="Calibri" w:hAnsi="Verdana" w:cs="Times New Roman"/>
        </w:rPr>
      </w:pPr>
    </w:p>
    <w:p w14:paraId="30E42926" w14:textId="77777777" w:rsidR="0039727B" w:rsidRPr="0039727B" w:rsidRDefault="0039727B" w:rsidP="0039727B">
      <w:pPr>
        <w:spacing w:after="0" w:line="240" w:lineRule="auto"/>
        <w:jc w:val="both"/>
        <w:rPr>
          <w:rFonts w:ascii="Verdana" w:eastAsia="Calibri" w:hAnsi="Verdana" w:cs="Times New Roman"/>
        </w:rPr>
      </w:pPr>
    </w:p>
    <w:p w14:paraId="3C0B6BC6" w14:textId="77777777" w:rsidR="0039727B" w:rsidRPr="0039727B" w:rsidRDefault="0039727B" w:rsidP="0039727B">
      <w:pPr>
        <w:spacing w:after="0" w:line="240" w:lineRule="auto"/>
        <w:jc w:val="both"/>
        <w:rPr>
          <w:rFonts w:ascii="Verdana" w:eastAsia="Calibri" w:hAnsi="Verdana" w:cs="Times New Roman"/>
        </w:rPr>
      </w:pPr>
    </w:p>
    <w:p w14:paraId="1D326406" w14:textId="77777777" w:rsidR="0039727B" w:rsidRPr="0039727B" w:rsidRDefault="0039727B" w:rsidP="0039727B">
      <w:pPr>
        <w:spacing w:after="0" w:line="240" w:lineRule="auto"/>
        <w:jc w:val="both"/>
        <w:rPr>
          <w:rFonts w:ascii="Verdana" w:eastAsia="Calibri" w:hAnsi="Verdana" w:cs="Times New Roman"/>
        </w:rPr>
      </w:pPr>
    </w:p>
    <w:p w14:paraId="3133EC88" w14:textId="77777777" w:rsidR="0039727B" w:rsidRPr="0039727B" w:rsidRDefault="0039727B" w:rsidP="0039727B">
      <w:pPr>
        <w:spacing w:after="0" w:line="240" w:lineRule="auto"/>
        <w:jc w:val="both"/>
        <w:rPr>
          <w:rFonts w:ascii="Verdana" w:eastAsia="Calibri" w:hAnsi="Verdana" w:cs="Times New Roman"/>
        </w:rPr>
      </w:pPr>
    </w:p>
    <w:p w14:paraId="3005F9A5" w14:textId="77777777" w:rsidR="0039727B" w:rsidRPr="0039727B" w:rsidRDefault="0039727B" w:rsidP="0039727B">
      <w:pPr>
        <w:spacing w:after="0" w:line="240" w:lineRule="auto"/>
        <w:jc w:val="both"/>
        <w:rPr>
          <w:rFonts w:ascii="Verdana" w:eastAsia="Calibri" w:hAnsi="Verdana" w:cs="Times New Roman"/>
        </w:rPr>
      </w:pPr>
    </w:p>
    <w:p w14:paraId="7046F96B" w14:textId="77777777" w:rsidR="0039727B" w:rsidRDefault="0039727B" w:rsidP="0039727B">
      <w:pPr>
        <w:spacing w:after="0" w:line="240" w:lineRule="auto"/>
        <w:jc w:val="both"/>
        <w:rPr>
          <w:rFonts w:ascii="Verdana" w:eastAsia="Calibri" w:hAnsi="Verdana" w:cs="Times New Roman"/>
        </w:rPr>
      </w:pPr>
    </w:p>
    <w:p w14:paraId="62D16CAE" w14:textId="77777777" w:rsidR="0039727B" w:rsidRPr="0039727B" w:rsidRDefault="0039727B" w:rsidP="0039727B">
      <w:pPr>
        <w:spacing w:after="0" w:line="240" w:lineRule="auto"/>
        <w:jc w:val="both"/>
        <w:rPr>
          <w:rFonts w:ascii="Verdana" w:eastAsia="Calibri" w:hAnsi="Verdana" w:cs="Times New Roman"/>
        </w:rPr>
      </w:pPr>
    </w:p>
    <w:p w14:paraId="6DDB6CD6" w14:textId="77777777" w:rsidR="0039727B" w:rsidRPr="0039727B" w:rsidRDefault="0039727B" w:rsidP="0039727B">
      <w:pPr>
        <w:spacing w:after="0" w:line="240" w:lineRule="auto"/>
        <w:jc w:val="both"/>
        <w:rPr>
          <w:rFonts w:ascii="Verdana" w:eastAsia="Calibri" w:hAnsi="Verdana" w:cs="Arial"/>
          <w:lang w:val="es-ES"/>
        </w:rPr>
      </w:pPr>
    </w:p>
    <w:p w14:paraId="7F2B4DE2" w14:textId="10D406D7" w:rsidR="0039727B" w:rsidRDefault="0039727B" w:rsidP="0039727B">
      <w:pPr>
        <w:spacing w:after="0" w:line="240" w:lineRule="auto"/>
        <w:jc w:val="both"/>
        <w:rPr>
          <w:rFonts w:ascii="Verdana" w:hAnsi="Verdana"/>
        </w:rPr>
      </w:pPr>
      <w:r w:rsidRPr="0044528D">
        <w:rPr>
          <w:rFonts w:ascii="Verdana" w:hAnsi="Verdana"/>
        </w:rPr>
        <w:t>Bogotá D.C.</w:t>
      </w:r>
    </w:p>
    <w:p w14:paraId="620E8ED4" w14:textId="77777777" w:rsidR="001F78F2" w:rsidRDefault="001F78F2" w:rsidP="0039727B">
      <w:pPr>
        <w:spacing w:after="0" w:line="240" w:lineRule="auto"/>
        <w:jc w:val="both"/>
        <w:rPr>
          <w:rFonts w:ascii="Verdana" w:hAnsi="Verdana"/>
        </w:rPr>
      </w:pPr>
    </w:p>
    <w:p w14:paraId="4AC6A873" w14:textId="269EEC23" w:rsidR="001F78F2" w:rsidRPr="0039727B" w:rsidRDefault="001F78F2" w:rsidP="001F78F2">
      <w:pPr>
        <w:spacing w:after="0" w:line="240" w:lineRule="auto"/>
        <w:jc w:val="right"/>
        <w:rPr>
          <w:rFonts w:ascii="Verdana" w:eastAsia="Calibri" w:hAnsi="Verdana" w:cs="Times New Roman"/>
        </w:rPr>
      </w:pPr>
      <w:r>
        <w:rPr>
          <w:rFonts w:ascii="Verdana" w:eastAsia="Calibri" w:hAnsi="Verdana" w:cs="Times New Roman"/>
          <w:noProof/>
        </w:rPr>
        <w:drawing>
          <wp:inline distT="0" distB="0" distL="0" distR="0" wp14:anchorId="39D5CC50" wp14:editId="6C9F4978">
            <wp:extent cx="3384907" cy="998426"/>
            <wp:effectExtent l="0" t="0" r="0" b="5080"/>
            <wp:docPr id="1941711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11730" name="Imagen 19417117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0977" cy="1003166"/>
                    </a:xfrm>
                    <a:prstGeom prst="rect">
                      <a:avLst/>
                    </a:prstGeom>
                  </pic:spPr>
                </pic:pic>
              </a:graphicData>
            </a:graphic>
          </wp:inline>
        </w:drawing>
      </w:r>
    </w:p>
    <w:p w14:paraId="0B2AF41E" w14:textId="77777777" w:rsidR="0039727B" w:rsidRPr="0039727B" w:rsidRDefault="0039727B" w:rsidP="0039727B">
      <w:pPr>
        <w:spacing w:after="0" w:line="240" w:lineRule="auto"/>
        <w:jc w:val="both"/>
        <w:rPr>
          <w:rFonts w:ascii="Verdana" w:eastAsia="Calibri" w:hAnsi="Verdana" w:cs="Arial"/>
          <w:lang w:val="es-ES"/>
        </w:rPr>
      </w:pPr>
    </w:p>
    <w:p w14:paraId="31311C6F" w14:textId="77777777" w:rsidR="0039727B" w:rsidRPr="0039727B" w:rsidRDefault="0039727B" w:rsidP="0039727B">
      <w:pPr>
        <w:spacing w:after="0" w:line="240" w:lineRule="auto"/>
        <w:jc w:val="both"/>
        <w:rPr>
          <w:rFonts w:ascii="Verdana" w:eastAsia="Calibri" w:hAnsi="Verdana" w:cs="Arial"/>
          <w:lang w:val="es-ES" w:eastAsia="es-ES"/>
        </w:rPr>
      </w:pPr>
      <w:r w:rsidRPr="0039727B">
        <w:rPr>
          <w:rFonts w:ascii="Verdana" w:eastAsia="Calibri" w:hAnsi="Verdana" w:cs="Arial"/>
          <w:lang w:val="es-ES" w:eastAsia="es-ES"/>
        </w:rPr>
        <w:t>Señor</w:t>
      </w:r>
    </w:p>
    <w:p w14:paraId="00BF08B7" w14:textId="080B1F5E" w:rsidR="0039727B" w:rsidRPr="0039727B" w:rsidRDefault="00E9691B" w:rsidP="0039727B">
      <w:pPr>
        <w:spacing w:after="0" w:line="240" w:lineRule="auto"/>
        <w:rPr>
          <w:rFonts w:ascii="Verdana" w:eastAsia="Calibri" w:hAnsi="Verdana" w:cs="Arial"/>
          <w:b/>
          <w:bCs/>
          <w:lang w:val="es-ES_tradnl" w:eastAsia="es-ES_tradnl"/>
        </w:rPr>
      </w:pPr>
      <w:r>
        <w:rPr>
          <w:rFonts w:ascii="Verdana" w:eastAsia="Calibri" w:hAnsi="Verdana" w:cs="Arial"/>
          <w:b/>
          <w:bCs/>
          <w:lang w:val="es-ES" w:eastAsia="es-ES"/>
        </w:rPr>
        <w:t>XXXX</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9727B" w:rsidRPr="0039727B" w14:paraId="38B4CFF4" w14:textId="77777777" w:rsidTr="00615578">
        <w:trPr>
          <w:trHeight w:val="884"/>
        </w:trPr>
        <w:tc>
          <w:tcPr>
            <w:tcW w:w="2689" w:type="dxa"/>
          </w:tcPr>
          <w:p w14:paraId="3BBE0DF3" w14:textId="77777777" w:rsidR="0039727B" w:rsidRPr="0039727B" w:rsidRDefault="0039727B" w:rsidP="0039727B">
            <w:pPr>
              <w:jc w:val="both"/>
              <w:rPr>
                <w:rFonts w:ascii="Verdana" w:eastAsia="Calibri" w:hAnsi="Verdana" w:cs="Arial"/>
                <w:b/>
                <w:bCs/>
                <w:lang w:val="es-ES_tradnl" w:eastAsia="es-ES_tradnl"/>
              </w:rPr>
            </w:pPr>
          </w:p>
        </w:tc>
        <w:tc>
          <w:tcPr>
            <w:tcW w:w="6100" w:type="dxa"/>
          </w:tcPr>
          <w:p w14:paraId="052A0956" w14:textId="77777777" w:rsidR="0039727B" w:rsidRPr="0039727B" w:rsidRDefault="0039727B" w:rsidP="0039727B">
            <w:pPr>
              <w:jc w:val="both"/>
              <w:rPr>
                <w:rFonts w:ascii="Verdana" w:eastAsia="Calibri" w:hAnsi="Verdana" w:cs="Arial"/>
                <w:b/>
                <w:bCs/>
                <w:lang w:val="es-ES" w:eastAsia="es-ES"/>
              </w:rPr>
            </w:pPr>
            <w:r w:rsidRPr="0039727B">
              <w:rPr>
                <w:rFonts w:ascii="Verdana" w:eastAsia="Calibri" w:hAnsi="Verdana" w:cs="Arial"/>
                <w:b/>
                <w:bCs/>
                <w:lang w:val="es-ES" w:eastAsia="es-ES"/>
              </w:rPr>
              <w:t>Concepto C – 244 de 2024</w:t>
            </w:r>
          </w:p>
        </w:tc>
      </w:tr>
      <w:tr w:rsidR="0039727B" w:rsidRPr="0039727B" w14:paraId="32BEA2FC" w14:textId="77777777" w:rsidTr="00615578">
        <w:trPr>
          <w:trHeight w:val="884"/>
        </w:trPr>
        <w:tc>
          <w:tcPr>
            <w:tcW w:w="2689" w:type="dxa"/>
          </w:tcPr>
          <w:p w14:paraId="0B9AA7D3" w14:textId="77777777" w:rsidR="0039727B" w:rsidRPr="0039727B" w:rsidRDefault="0039727B" w:rsidP="0039727B">
            <w:pPr>
              <w:jc w:val="both"/>
              <w:rPr>
                <w:rFonts w:ascii="Verdana" w:eastAsia="Calibri" w:hAnsi="Verdana" w:cs="Arial"/>
                <w:lang w:val="es-ES_tradnl" w:eastAsia="es-ES_tradnl"/>
              </w:rPr>
            </w:pPr>
            <w:r w:rsidRPr="0039727B">
              <w:rPr>
                <w:rFonts w:ascii="Verdana" w:eastAsia="Calibri" w:hAnsi="Verdana" w:cs="Arial"/>
                <w:b/>
                <w:lang w:val="es-ES_tradnl" w:eastAsia="es-ES_tradnl"/>
              </w:rPr>
              <w:t>Temas:</w:t>
            </w:r>
            <w:r w:rsidRPr="0039727B">
              <w:rPr>
                <w:rFonts w:ascii="Verdana" w:eastAsia="Calibri" w:hAnsi="Verdana" w:cs="Arial"/>
                <w:lang w:val="es-ES_tradnl" w:eastAsia="es-ES_tradnl"/>
              </w:rPr>
              <w:t xml:space="preserve">                   </w:t>
            </w:r>
          </w:p>
        </w:tc>
        <w:tc>
          <w:tcPr>
            <w:tcW w:w="6100" w:type="dxa"/>
          </w:tcPr>
          <w:p w14:paraId="4724F782" w14:textId="77777777" w:rsidR="0039727B" w:rsidRPr="0039727B" w:rsidRDefault="0039727B" w:rsidP="0039727B">
            <w:pPr>
              <w:spacing w:line="276" w:lineRule="auto"/>
              <w:jc w:val="both"/>
              <w:rPr>
                <w:rFonts w:ascii="Verdana" w:eastAsia="Aptos" w:hAnsi="Verdana" w:cs="Arial"/>
                <w:bCs/>
                <w:color w:val="000000"/>
                <w:lang w:val="es-ES_tradnl"/>
              </w:rPr>
            </w:pPr>
            <w:r w:rsidRPr="0039727B">
              <w:rPr>
                <w:rFonts w:ascii="Verdana" w:eastAsia="Aptos" w:hAnsi="Verdana" w:cs="Arial"/>
                <w:bCs/>
                <w:color w:val="000000"/>
                <w:lang w:val="es-ES_tradnl"/>
              </w:rPr>
              <w:t>CAUSALES DE RECHAZO – Principio de legalidad – Configuración – Documentos Tipo / GUÍA PARA DETERMINAR Y VERIFICAR LA CAPACIDAD RESIDUAL DEL PROPONENTE EN LOS PROCESOS DE CONTRATACIÓN DE OBRA PÚBLICA – Cálculo de la Capacidad Residual del Proponente – Anexo 1 – Certificación de contratos para acreditación de Experiencia (E) – Obligatoriedad</w:t>
            </w:r>
          </w:p>
          <w:p w14:paraId="7038165B" w14:textId="77777777" w:rsidR="0039727B" w:rsidRPr="0039727B" w:rsidRDefault="0039727B" w:rsidP="0039727B">
            <w:pPr>
              <w:tabs>
                <w:tab w:val="left" w:pos="0"/>
              </w:tabs>
              <w:spacing w:line="276" w:lineRule="auto"/>
              <w:jc w:val="both"/>
              <w:rPr>
                <w:rFonts w:ascii="Verdana" w:eastAsia="Calibri" w:hAnsi="Verdana" w:cs="Arial"/>
                <w:bCs/>
                <w:lang w:val="es-ES" w:eastAsia="es-ES"/>
              </w:rPr>
            </w:pPr>
          </w:p>
        </w:tc>
      </w:tr>
      <w:tr w:rsidR="0039727B" w:rsidRPr="0039727B" w14:paraId="7883C25A" w14:textId="77777777" w:rsidTr="00615578">
        <w:tc>
          <w:tcPr>
            <w:tcW w:w="2689" w:type="dxa"/>
          </w:tcPr>
          <w:p w14:paraId="567F7630" w14:textId="77777777" w:rsidR="0039727B" w:rsidRPr="0039727B" w:rsidRDefault="0039727B" w:rsidP="0039727B">
            <w:pPr>
              <w:jc w:val="both"/>
              <w:rPr>
                <w:rFonts w:ascii="Verdana" w:eastAsia="Calibri" w:hAnsi="Verdana" w:cs="Arial"/>
                <w:b/>
                <w:lang w:val="es-ES_tradnl" w:eastAsia="es-ES_tradnl"/>
              </w:rPr>
            </w:pPr>
            <w:r w:rsidRPr="0039727B">
              <w:rPr>
                <w:rFonts w:ascii="Verdana" w:eastAsia="Calibri" w:hAnsi="Verdana" w:cs="Arial"/>
                <w:b/>
                <w:lang w:val="es-ES_tradnl" w:eastAsia="es-ES_tradnl"/>
              </w:rPr>
              <w:t>Radicación:</w:t>
            </w:r>
            <w:r w:rsidRPr="0039727B">
              <w:rPr>
                <w:rFonts w:ascii="Verdana" w:eastAsia="Calibri" w:hAnsi="Verdana" w:cs="Arial"/>
                <w:lang w:val="es-ES_tradnl" w:eastAsia="es-ES_tradnl"/>
              </w:rPr>
              <w:t xml:space="preserve">               </w:t>
            </w:r>
          </w:p>
        </w:tc>
        <w:tc>
          <w:tcPr>
            <w:tcW w:w="6100" w:type="dxa"/>
          </w:tcPr>
          <w:p w14:paraId="72E5E4B4" w14:textId="77777777" w:rsidR="0039727B" w:rsidRPr="0039727B" w:rsidRDefault="0039727B" w:rsidP="0039727B">
            <w:pPr>
              <w:jc w:val="both"/>
              <w:rPr>
                <w:rFonts w:ascii="Verdana" w:eastAsia="Calibri" w:hAnsi="Verdana" w:cs="Arial"/>
                <w:lang w:val="es-ES_tradnl" w:eastAsia="es-ES_tradnl"/>
              </w:rPr>
            </w:pPr>
            <w:r w:rsidRPr="0039727B">
              <w:rPr>
                <w:rFonts w:ascii="Verdana" w:eastAsia="Calibri" w:hAnsi="Verdana" w:cs="Arial"/>
                <w:lang w:val="es-ES_tradnl" w:eastAsia="es-ES_tradnl"/>
              </w:rPr>
              <w:t>Respuesta a consulta con radicado No. P20240628006631</w:t>
            </w:r>
          </w:p>
        </w:tc>
      </w:tr>
    </w:tbl>
    <w:p w14:paraId="71C3E55D" w14:textId="77777777" w:rsidR="0039727B" w:rsidRPr="0039727B" w:rsidRDefault="0039727B" w:rsidP="0039727B">
      <w:pPr>
        <w:spacing w:after="0" w:line="240" w:lineRule="auto"/>
        <w:jc w:val="both"/>
        <w:rPr>
          <w:rFonts w:ascii="Verdana" w:eastAsia="Calibri" w:hAnsi="Verdana" w:cs="Arial"/>
          <w:lang w:val="es-ES_tradnl" w:eastAsia="es-ES_tradnl"/>
        </w:rPr>
      </w:pPr>
    </w:p>
    <w:p w14:paraId="03430591" w14:textId="77777777" w:rsidR="0039727B" w:rsidRPr="0039727B" w:rsidRDefault="0039727B" w:rsidP="0039727B">
      <w:pPr>
        <w:spacing w:after="0" w:line="240" w:lineRule="auto"/>
        <w:jc w:val="both"/>
        <w:rPr>
          <w:rFonts w:ascii="Verdana" w:eastAsia="Calibri" w:hAnsi="Verdana" w:cs="Arial"/>
          <w:lang w:val="es-ES_tradnl" w:eastAsia="es-ES_tradnl"/>
        </w:rPr>
      </w:pPr>
    </w:p>
    <w:p w14:paraId="3D394AFE" w14:textId="1EF3889C" w:rsidR="0039727B" w:rsidRPr="0039727B" w:rsidRDefault="0039727B" w:rsidP="0039727B">
      <w:pPr>
        <w:spacing w:after="0" w:line="276" w:lineRule="auto"/>
        <w:jc w:val="both"/>
        <w:rPr>
          <w:rFonts w:ascii="Verdana" w:eastAsia="Calibri" w:hAnsi="Verdana" w:cs="Arial"/>
          <w:lang w:val="es-ES" w:eastAsia="es-ES"/>
        </w:rPr>
      </w:pPr>
      <w:r w:rsidRPr="0039727B">
        <w:rPr>
          <w:rFonts w:ascii="Verdana" w:eastAsia="Calibri" w:hAnsi="Verdana" w:cs="Arial"/>
          <w:lang w:val="es-ES" w:eastAsia="es-ES"/>
        </w:rPr>
        <w:t xml:space="preserve">Estimado </w:t>
      </w:r>
      <w:r w:rsidR="00E9691B">
        <w:rPr>
          <w:rFonts w:ascii="Verdana" w:eastAsia="Calibri" w:hAnsi="Verdana" w:cs="Arial"/>
          <w:lang w:val="es-ES" w:eastAsia="es-ES"/>
        </w:rPr>
        <w:t>XXXXX</w:t>
      </w:r>
    </w:p>
    <w:p w14:paraId="59FEB868" w14:textId="77777777" w:rsidR="0039727B" w:rsidRPr="0039727B" w:rsidRDefault="0039727B" w:rsidP="0039727B">
      <w:pPr>
        <w:tabs>
          <w:tab w:val="left" w:pos="3768"/>
        </w:tabs>
        <w:spacing w:after="0" w:line="276" w:lineRule="auto"/>
        <w:jc w:val="both"/>
        <w:rPr>
          <w:rFonts w:ascii="Verdana" w:eastAsia="Calibri" w:hAnsi="Verdana" w:cs="Arial"/>
          <w:lang w:val="es-ES" w:eastAsia="es-ES"/>
        </w:rPr>
      </w:pPr>
      <w:r w:rsidRPr="0039727B">
        <w:rPr>
          <w:rFonts w:ascii="Verdana" w:eastAsia="Calibri" w:hAnsi="Verdana" w:cs="Arial"/>
          <w:lang w:val="es-ES" w:eastAsia="es-ES"/>
        </w:rPr>
        <w:tab/>
      </w:r>
    </w:p>
    <w:p w14:paraId="1BF55F3A" w14:textId="77777777" w:rsidR="0039727B" w:rsidRPr="0039727B" w:rsidRDefault="0039727B" w:rsidP="0039727B">
      <w:pPr>
        <w:spacing w:after="0" w:line="276" w:lineRule="auto"/>
        <w:jc w:val="both"/>
        <w:rPr>
          <w:rFonts w:ascii="Verdana" w:eastAsia="Calibri" w:hAnsi="Verdana" w:cs="Arial"/>
          <w:lang w:val="es-ES" w:eastAsia="es-ES"/>
        </w:rPr>
      </w:pPr>
      <w:r w:rsidRPr="0039727B">
        <w:rPr>
          <w:rFonts w:ascii="Verdana" w:eastAsia="Calibri" w:hAnsi="Verdana" w:cs="Arial"/>
          <w:lang w:val="es-ES" w:eastAsia="es-ES"/>
        </w:rPr>
        <w:t>En ejercicio de la competencia otorgada por los artículos 3, numeral 5º, y 11, numeral 8º, del Decreto Ley 4170 de 2011,</w:t>
      </w:r>
      <w:r w:rsidRPr="0039727B">
        <w:rPr>
          <w:rFonts w:ascii="Verdana" w:eastAsia="Arial MT" w:hAnsi="Verdana" w:cs="Arial MT"/>
          <w:lang w:val="es-ES" w:eastAsia="es-ES"/>
        </w:rPr>
        <w:t xml:space="preserve"> </w:t>
      </w:r>
      <w:r w:rsidRPr="0039727B">
        <w:rPr>
          <w:rFonts w:ascii="Verdana" w:eastAsia="Calibri" w:hAnsi="Verdana" w:cs="Arial"/>
        </w:rPr>
        <w:t xml:space="preserve">así como lo establecido en el artículo 4 de la Resolución 1707 de 2018 expedida por esta Entidad, </w:t>
      </w:r>
      <w:r w:rsidRPr="0039727B">
        <w:rPr>
          <w:rFonts w:ascii="Verdana" w:eastAsia="Calibri" w:hAnsi="Verdana" w:cs="Arial"/>
          <w:lang w:val="es-ES" w:eastAsia="es-ES"/>
        </w:rPr>
        <w:t>la Agencia Nacional de Contratación Pública – Colombia Compra Eficiente– responde su solicitud de consulta de fecha 28 de junio de 2024, en la que manifiesta lo siguiente:</w:t>
      </w:r>
    </w:p>
    <w:p w14:paraId="2F52E7B2" w14:textId="77777777" w:rsidR="0039727B" w:rsidRPr="0039727B" w:rsidRDefault="0039727B" w:rsidP="0039727B">
      <w:pPr>
        <w:tabs>
          <w:tab w:val="left" w:pos="142"/>
          <w:tab w:val="left" w:pos="284"/>
        </w:tabs>
        <w:spacing w:line="276" w:lineRule="auto"/>
        <w:contextualSpacing/>
        <w:jc w:val="both"/>
        <w:rPr>
          <w:rFonts w:ascii="Verdana" w:eastAsia="Century Gothic" w:hAnsi="Verdana" w:cs="Century Gothic"/>
          <w:b/>
          <w:bCs/>
          <w:lang w:val="es-ES"/>
        </w:rPr>
      </w:pPr>
    </w:p>
    <w:p w14:paraId="1A8F7746"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 xml:space="preserve">“1. ¿Es de obligatorio cumplimiento la presentación del Anexo 1 Certificación de contratos para acreditación de Experiencia (E) en los procesos de contratación de obra pública? </w:t>
      </w:r>
    </w:p>
    <w:p w14:paraId="0CDF8995"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p>
    <w:p w14:paraId="76ADC1BD"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 xml:space="preserve">2. ¿El proponente puede presentar el Anexo 1 Certificación de contratos para acreditación de Experiencia (E) diferente al adoptado por la Entidad </w:t>
      </w:r>
      <w:r w:rsidRPr="0039727B">
        <w:rPr>
          <w:rFonts w:ascii="Verdana" w:eastAsia="Century Gothic" w:hAnsi="Verdana" w:cs="Century Gothic"/>
          <w:sz w:val="20"/>
          <w:szCs w:val="20"/>
          <w:lang w:val="es-ES"/>
        </w:rPr>
        <w:lastRenderedPageBreak/>
        <w:t>Estatal, siempre y cuando cumpla con las especificaciones contenidas en la GUÍA PARA DETERMINAR Y VERIFICAR LA CAPACIDAD RESIDUAL DEL PROPONENTE EN LOS PROCESOS DE CONTRATACIÓN DE OBRA PÚBLICA?</w:t>
      </w:r>
    </w:p>
    <w:p w14:paraId="02EE5ABD"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p>
    <w:p w14:paraId="0D1BA781"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3. ¿Puede la entidad estatal exigir al proponente la presentación del Anexo 1 Certificación de contratos para acreditación de Experiencia (E) adoptado por la entidad en los procesos de contratación de obra pública?</w:t>
      </w:r>
    </w:p>
    <w:p w14:paraId="78F5C519"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p>
    <w:p w14:paraId="07973AA0"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4. En el caso que la información contenida en el Anexo 1 Certificación de contratos para acreditación de Experiencia (E), presente inconsistencias en la verificación del Registro Único de Proponentes frente a lo diligenciado en el Anexo 1.</w:t>
      </w:r>
    </w:p>
    <w:p w14:paraId="4FB0BBB4"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p>
    <w:p w14:paraId="4A1DCF58"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¿Es esta una causal de rechazo al proponente?</w:t>
      </w:r>
    </w:p>
    <w:p w14:paraId="74A82C78"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¿Cuál debe ser posición que debe adoptar la Entidad Estatal al evidenciar las inconsistencias?</w:t>
      </w:r>
    </w:p>
    <w:p w14:paraId="72BEFF10" w14:textId="77777777" w:rsidR="0039727B" w:rsidRPr="0039727B" w:rsidRDefault="0039727B" w:rsidP="0039727B">
      <w:pPr>
        <w:spacing w:after="0" w:line="240" w:lineRule="auto"/>
        <w:ind w:left="709" w:right="709"/>
        <w:jc w:val="both"/>
        <w:rPr>
          <w:rFonts w:ascii="Verdana" w:eastAsia="Century Gothic" w:hAnsi="Verdana" w:cs="Century Gothic"/>
          <w:sz w:val="20"/>
          <w:szCs w:val="20"/>
          <w:lang w:val="es-ES"/>
        </w:rPr>
      </w:pPr>
      <w:r w:rsidRPr="0039727B">
        <w:rPr>
          <w:rFonts w:ascii="Verdana" w:eastAsia="Century Gothic" w:hAnsi="Verdana" w:cs="Century Gothic"/>
          <w:sz w:val="20"/>
          <w:szCs w:val="20"/>
          <w:lang w:val="es-ES"/>
        </w:rPr>
        <w:t>¿La Entidad Estatal debe requerir al proponente y exigirle subsanar las inconsistencias en el Anexo1 y estas sean corregidas de acuerdo a la información contenida en el Registro Único de Proponentes?”</w:t>
      </w:r>
    </w:p>
    <w:p w14:paraId="244BF23D" w14:textId="77777777" w:rsidR="0039727B" w:rsidRPr="0039727B" w:rsidRDefault="0039727B" w:rsidP="0039727B">
      <w:pPr>
        <w:spacing w:after="0" w:line="240" w:lineRule="auto"/>
        <w:ind w:right="709"/>
        <w:jc w:val="both"/>
        <w:rPr>
          <w:rFonts w:ascii="Verdana" w:eastAsia="Century Gothic" w:hAnsi="Verdana" w:cs="Century Gothic"/>
          <w:lang w:val="es-ES"/>
        </w:rPr>
      </w:pPr>
    </w:p>
    <w:p w14:paraId="1098D785" w14:textId="77777777" w:rsidR="0039727B" w:rsidRPr="0039727B" w:rsidRDefault="0039727B" w:rsidP="0039727B">
      <w:pPr>
        <w:spacing w:after="120" w:line="276" w:lineRule="auto"/>
        <w:ind w:firstLine="709"/>
        <w:jc w:val="both"/>
        <w:rPr>
          <w:rFonts w:ascii="Verdana" w:eastAsia="Calibri" w:hAnsi="Verdana" w:cs="Arial"/>
          <w:szCs w:val="24"/>
          <w:lang w:val="es-ES_tradnl" w:eastAsia="es-ES_tradnl"/>
        </w:rPr>
      </w:pPr>
      <w:r w:rsidRPr="003972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9727B">
        <w:rPr>
          <w:rFonts w:ascii="Verdana" w:eastAsia="Calibri" w:hAnsi="Verdana" w:cs="Arial"/>
          <w:szCs w:val="24"/>
          <w:lang w:val="es-ES_tradnl" w:eastAsia="es-ES_tradnl"/>
        </w:rPr>
        <w:tab/>
      </w:r>
    </w:p>
    <w:p w14:paraId="5290B61F" w14:textId="77777777" w:rsidR="0039727B" w:rsidRPr="0039727B" w:rsidRDefault="0039727B" w:rsidP="0039727B">
      <w:pPr>
        <w:spacing w:after="0" w:line="276" w:lineRule="auto"/>
        <w:ind w:firstLine="709"/>
        <w:jc w:val="both"/>
        <w:rPr>
          <w:rFonts w:ascii="Verdana" w:eastAsia="Calibri" w:hAnsi="Verdana" w:cs="Arial"/>
          <w:lang w:val="es-ES" w:eastAsia="es-ES"/>
        </w:rPr>
      </w:pPr>
      <w:r w:rsidRPr="0039727B">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Además, le informamos que su pregunta 3 será remitida a la Junta Central de Contadores, para que sea esta la institución que, de considerarlo procedente y dentro de sus competencias, resuelva su inquietud. </w:t>
      </w:r>
    </w:p>
    <w:p w14:paraId="14A7B4EE" w14:textId="77777777" w:rsidR="0039727B" w:rsidRPr="0039727B" w:rsidRDefault="0039727B" w:rsidP="0039727B">
      <w:pPr>
        <w:spacing w:after="0" w:line="276" w:lineRule="auto"/>
        <w:ind w:firstLine="709"/>
        <w:jc w:val="both"/>
        <w:rPr>
          <w:rFonts w:ascii="Verdana" w:eastAsia="Calibri" w:hAnsi="Verdana" w:cs="Arial"/>
          <w:lang w:val="es-ES" w:eastAsia="es-ES"/>
        </w:rPr>
      </w:pPr>
    </w:p>
    <w:p w14:paraId="00D4D6FF" w14:textId="77777777" w:rsidR="0039727B" w:rsidRPr="0039727B" w:rsidRDefault="0039727B" w:rsidP="0039727B">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39727B">
        <w:rPr>
          <w:rFonts w:ascii="Verdana" w:eastAsia="Century Gothic" w:hAnsi="Verdana" w:cs="Century Gothic"/>
          <w:b/>
          <w:bCs/>
          <w:lang w:val="es-ES"/>
        </w:rPr>
        <w:t>Problema planteado:</w:t>
      </w:r>
    </w:p>
    <w:p w14:paraId="0048A186" w14:textId="77777777" w:rsidR="0039727B" w:rsidRPr="0039727B" w:rsidRDefault="0039727B" w:rsidP="0039727B">
      <w:pPr>
        <w:tabs>
          <w:tab w:val="left" w:pos="426"/>
        </w:tabs>
        <w:spacing w:after="0" w:line="276" w:lineRule="auto"/>
        <w:jc w:val="both"/>
        <w:rPr>
          <w:rFonts w:ascii="Verdana" w:eastAsia="Century Gothic" w:hAnsi="Verdana" w:cs="Century Gothic"/>
          <w:lang w:val="es-ES"/>
        </w:rPr>
      </w:pPr>
    </w:p>
    <w:p w14:paraId="7D693D96" w14:textId="06D95A25" w:rsidR="0039727B" w:rsidRPr="0039727B" w:rsidRDefault="0039727B" w:rsidP="0039727B">
      <w:pPr>
        <w:snapToGrid w:val="0"/>
        <w:spacing w:after="0" w:line="276" w:lineRule="auto"/>
        <w:jc w:val="both"/>
        <w:rPr>
          <w:rFonts w:ascii="Verdana" w:eastAsia="Century Gothic" w:hAnsi="Verdana" w:cs="Century Gothic"/>
        </w:rPr>
      </w:pPr>
      <w:r w:rsidRPr="0039727B">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39727B">
        <w:rPr>
          <w:rFonts w:ascii="Verdana" w:eastAsia="Century Gothic" w:hAnsi="Verdana" w:cs="Century Gothic"/>
        </w:rPr>
        <w:t xml:space="preserve"> siguiente problema jurídico: ¿es obligatoria la presentación del Anexo 1 – Certificación de contratos para acreditación de Experiencia (E) de la Guía para Determinar y verificar la Capacidad Residual en los Procesos de Contratación de Obra Pública, y las inconsistencias en el mismo pueden dar lugar al rechazo de la oferta?</w:t>
      </w:r>
    </w:p>
    <w:p w14:paraId="496C99C4" w14:textId="77777777" w:rsidR="0039727B" w:rsidRPr="0039727B" w:rsidRDefault="0039727B" w:rsidP="0039727B">
      <w:pPr>
        <w:snapToGrid w:val="0"/>
        <w:spacing w:after="0" w:line="276" w:lineRule="auto"/>
        <w:jc w:val="both"/>
        <w:rPr>
          <w:rFonts w:ascii="Verdana" w:eastAsia="Century Gothic" w:hAnsi="Verdana" w:cs="Century Gothic"/>
        </w:rPr>
      </w:pPr>
    </w:p>
    <w:p w14:paraId="6653C25A" w14:textId="77777777" w:rsidR="0039727B" w:rsidRPr="0039727B" w:rsidRDefault="0039727B" w:rsidP="0039727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9727B">
        <w:rPr>
          <w:rFonts w:ascii="Verdana" w:eastAsia="Century Gothic" w:hAnsi="Verdana" w:cs="Century Gothic"/>
          <w:b/>
          <w:bCs/>
          <w:lang w:val="es-ES"/>
        </w:rPr>
        <w:t>Respuesta:</w:t>
      </w:r>
    </w:p>
    <w:p w14:paraId="3653E1D8" w14:textId="77777777" w:rsidR="0039727B" w:rsidRPr="0039727B" w:rsidRDefault="0039727B" w:rsidP="0039727B">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9727B" w:rsidRPr="0039727B" w14:paraId="31D50164" w14:textId="77777777" w:rsidTr="00615578">
        <w:tc>
          <w:tcPr>
            <w:tcW w:w="8828" w:type="dxa"/>
            <w:shd w:val="clear" w:color="auto" w:fill="auto"/>
          </w:tcPr>
          <w:p w14:paraId="4B0BEB91" w14:textId="77777777" w:rsidR="0039727B" w:rsidRPr="0039727B" w:rsidRDefault="0039727B" w:rsidP="0039727B">
            <w:pPr>
              <w:spacing w:line="276" w:lineRule="auto"/>
              <w:jc w:val="both"/>
              <w:rPr>
                <w:rFonts w:ascii="Verdana" w:eastAsia="Calibri" w:hAnsi="Verdana" w:cs="Arial"/>
                <w:lang w:val="es-ES_tradnl"/>
              </w:rPr>
            </w:pPr>
            <w:r w:rsidRPr="0039727B">
              <w:rPr>
                <w:rFonts w:ascii="Verdana" w:eastAsia="Calibri" w:hAnsi="Verdana" w:cs="Arial"/>
                <w:lang w:val="es-ES_tradnl"/>
              </w:rPr>
              <w:t xml:space="preserve">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Algo similar ocurre con las causales de rechazo establecidas en los documentos tipo, </w:t>
            </w:r>
            <w:r w:rsidRPr="0039727B">
              <w:rPr>
                <w:rFonts w:ascii="Verdana" w:eastAsia="Calibri" w:hAnsi="Verdana" w:cs="Arial"/>
                <w:lang w:val="es-MX" w:eastAsia="es-MX"/>
              </w:rPr>
              <w:t>las cuales son taxativas, descartándose que la entidad introduzca nuevas, salvo las contempladas directamente en la ley.</w:t>
            </w:r>
          </w:p>
          <w:p w14:paraId="2358FA2F" w14:textId="77777777" w:rsidR="0039727B" w:rsidRPr="0039727B" w:rsidRDefault="0039727B" w:rsidP="0039727B">
            <w:pPr>
              <w:spacing w:line="276" w:lineRule="auto"/>
              <w:jc w:val="both"/>
              <w:rPr>
                <w:rFonts w:ascii="Verdana" w:eastAsia="Calibri" w:hAnsi="Verdana" w:cs="Arial"/>
                <w:b/>
                <w:bCs/>
                <w:lang w:val="es-ES"/>
              </w:rPr>
            </w:pPr>
          </w:p>
          <w:p w14:paraId="2782B51E" w14:textId="77777777" w:rsidR="0039727B" w:rsidRPr="0039727B" w:rsidRDefault="0039727B" w:rsidP="0039727B">
            <w:pPr>
              <w:spacing w:line="276" w:lineRule="auto"/>
              <w:jc w:val="both"/>
              <w:rPr>
                <w:rFonts w:ascii="Verdana" w:eastAsia="Calibri" w:hAnsi="Verdana" w:cs="Calibri"/>
                <w:lang w:val="es-MX"/>
              </w:rPr>
            </w:pPr>
            <w:r w:rsidRPr="0039727B">
              <w:rPr>
                <w:rFonts w:ascii="Verdana" w:eastAsia="Calibri" w:hAnsi="Verdana" w:cs="Calibri"/>
                <w:lang w:val="es-MX"/>
              </w:rPr>
              <w:t>La presentación de Anexo 1 – Certificación de contratos de la Guía para Determinar y Verificar la Capacidad Residual del Proponente en los Procesos de Contratación de Obra Pública, se debe realizar en los eventos en que la información contenida en el RUP no sea suficiente, o cuando se incluya en los formatos de experiencia, contratos o información no relacionada en el RUP, que deba ser objeto de verificación por parte de las entidades en el proceso de selección que se adelante.</w:t>
            </w:r>
          </w:p>
          <w:p w14:paraId="5C6B03C8" w14:textId="77777777" w:rsidR="0039727B" w:rsidRPr="0039727B" w:rsidRDefault="0039727B" w:rsidP="0039727B">
            <w:pPr>
              <w:spacing w:line="276" w:lineRule="auto"/>
              <w:jc w:val="both"/>
              <w:rPr>
                <w:rFonts w:ascii="Verdana" w:eastAsia="Calibri" w:hAnsi="Verdana" w:cs="Arial"/>
                <w:lang w:val="es-ES_tradnl"/>
              </w:rPr>
            </w:pPr>
          </w:p>
          <w:p w14:paraId="107CFF3A" w14:textId="77777777" w:rsidR="0039727B" w:rsidRPr="0039727B" w:rsidRDefault="0039727B" w:rsidP="0039727B">
            <w:pPr>
              <w:spacing w:line="276" w:lineRule="auto"/>
              <w:jc w:val="both"/>
              <w:rPr>
                <w:rFonts w:ascii="Verdana" w:eastAsia="Calibri" w:hAnsi="Verdana" w:cs="Calibri"/>
                <w:lang w:val="es-MX"/>
              </w:rPr>
            </w:pPr>
            <w:r w:rsidRPr="0039727B">
              <w:rPr>
                <w:rFonts w:ascii="Verdana" w:eastAsia="Calibri" w:hAnsi="Verdana" w:cs="Calibri"/>
                <w:lang w:val="es-MX"/>
              </w:rPr>
              <w:t xml:space="preserve">En todo caso, las </w:t>
            </w:r>
            <w:bookmarkStart w:id="0" w:name="_Hlk178079236"/>
            <w:r w:rsidRPr="0039727B">
              <w:rPr>
                <w:rFonts w:ascii="Verdana" w:eastAsia="Calibri" w:hAnsi="Verdana" w:cs="Calibri"/>
                <w:lang w:val="es-MX"/>
              </w:rPr>
              <w:t>entidades estatales, en los eventos en que lo requieran, podrán optar por utilizar los anexos incluidos en la Guía para el cálculo de la capacidad residual, como el caso del Anexo 1, o incluir los formatos que la entidad considere y que incluyan la información necesaria para el cálculo respectivo.</w:t>
            </w:r>
          </w:p>
          <w:bookmarkEnd w:id="0"/>
          <w:p w14:paraId="2658194E" w14:textId="77777777" w:rsidR="0039727B" w:rsidRPr="0039727B" w:rsidRDefault="0039727B" w:rsidP="0039727B">
            <w:pPr>
              <w:spacing w:line="276" w:lineRule="auto"/>
              <w:jc w:val="both"/>
              <w:rPr>
                <w:rFonts w:ascii="Verdana" w:eastAsia="Calibri" w:hAnsi="Verdana" w:cs="Arial"/>
                <w:lang w:val="es-ES_tradnl"/>
              </w:rPr>
            </w:pPr>
          </w:p>
          <w:p w14:paraId="1CCF98E2" w14:textId="77777777" w:rsidR="0039727B" w:rsidRPr="0039727B" w:rsidRDefault="0039727B" w:rsidP="0039727B">
            <w:pPr>
              <w:spacing w:line="276" w:lineRule="auto"/>
              <w:jc w:val="both"/>
              <w:rPr>
                <w:rFonts w:ascii="Verdana" w:eastAsia="Calibri" w:hAnsi="Verdana" w:cs="Arial"/>
                <w:lang w:val="es-ES_tradnl"/>
              </w:rPr>
            </w:pPr>
            <w:r w:rsidRPr="0039727B">
              <w:rPr>
                <w:rFonts w:ascii="Verdana" w:eastAsia="Calibri" w:hAnsi="Verdana" w:cs="Calibri"/>
                <w:lang w:val="es-MX"/>
              </w:rPr>
              <w:t xml:space="preserve">Finalmente, las entidades podrán solicitar aclaraciones respecto de la información contenida en el Anexo 1 y la consignada en el RUP. Sin embargo, si los proponentes no presentan las aclaraciones respectivas, podrán ser rechazados, de acuerdo con las causales de rechazo contenidas en los documentos tipo de infraestructura de transporte. </w:t>
            </w:r>
          </w:p>
          <w:p w14:paraId="6328DDE2" w14:textId="77777777" w:rsidR="0039727B" w:rsidRPr="0039727B" w:rsidRDefault="0039727B" w:rsidP="0039727B">
            <w:pPr>
              <w:spacing w:line="276" w:lineRule="auto"/>
              <w:jc w:val="both"/>
              <w:rPr>
                <w:rFonts w:ascii="Verdana" w:eastAsia="Calibri" w:hAnsi="Verdana" w:cs="Arial"/>
                <w:lang w:val="es-ES_tradnl"/>
              </w:rPr>
            </w:pPr>
          </w:p>
        </w:tc>
      </w:tr>
    </w:tbl>
    <w:p w14:paraId="53A32E72" w14:textId="77777777" w:rsidR="0039727B" w:rsidRPr="0039727B" w:rsidRDefault="0039727B" w:rsidP="0039727B">
      <w:pPr>
        <w:tabs>
          <w:tab w:val="left" w:pos="142"/>
          <w:tab w:val="left" w:pos="284"/>
        </w:tabs>
        <w:snapToGrid w:val="0"/>
        <w:spacing w:after="0" w:line="276" w:lineRule="auto"/>
        <w:jc w:val="both"/>
        <w:rPr>
          <w:rFonts w:ascii="Verdana" w:eastAsia="Century Gothic" w:hAnsi="Verdana" w:cs="Century Gothic"/>
          <w:b/>
          <w:bCs/>
          <w:lang w:val="es-ES"/>
        </w:rPr>
      </w:pPr>
    </w:p>
    <w:p w14:paraId="3639B271" w14:textId="77777777" w:rsidR="0039727B" w:rsidRPr="0039727B" w:rsidRDefault="0039727B" w:rsidP="0039727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9727B">
        <w:rPr>
          <w:rFonts w:ascii="Verdana" w:eastAsia="Century Gothic" w:hAnsi="Verdana" w:cs="Century Gothic"/>
          <w:b/>
          <w:bCs/>
          <w:lang w:val="es-ES"/>
        </w:rPr>
        <w:lastRenderedPageBreak/>
        <w:t>Razones de la respuesta:</w:t>
      </w:r>
    </w:p>
    <w:p w14:paraId="5E7F6986" w14:textId="77777777" w:rsidR="0039727B" w:rsidRPr="0039727B" w:rsidRDefault="0039727B" w:rsidP="0039727B">
      <w:pPr>
        <w:tabs>
          <w:tab w:val="left" w:pos="142"/>
          <w:tab w:val="left" w:pos="284"/>
        </w:tabs>
        <w:snapToGrid w:val="0"/>
        <w:spacing w:after="0" w:line="276" w:lineRule="auto"/>
        <w:ind w:left="357"/>
        <w:jc w:val="both"/>
        <w:rPr>
          <w:rFonts w:ascii="Verdana" w:eastAsia="Century Gothic" w:hAnsi="Verdana" w:cs="Century Gothic"/>
          <w:b/>
          <w:bCs/>
          <w:lang w:val="es-ES"/>
        </w:rPr>
      </w:pPr>
    </w:p>
    <w:p w14:paraId="590016AA" w14:textId="77777777" w:rsidR="0039727B" w:rsidRPr="0039727B" w:rsidRDefault="0039727B" w:rsidP="0039727B">
      <w:pPr>
        <w:snapToGrid w:val="0"/>
        <w:spacing w:after="0" w:line="276" w:lineRule="auto"/>
        <w:jc w:val="both"/>
        <w:rPr>
          <w:rFonts w:ascii="Verdana" w:eastAsia="Calibri" w:hAnsi="Verdana" w:cs="Arial"/>
          <w:lang w:val="es-ES"/>
        </w:rPr>
      </w:pPr>
      <w:r w:rsidRPr="0039727B">
        <w:rPr>
          <w:rFonts w:ascii="Verdana" w:eastAsia="Calibri" w:hAnsi="Verdana" w:cs="Arial"/>
          <w:lang w:val="es-ES"/>
        </w:rPr>
        <w:t>Lo anterior se sustenta en las siguientes consideraciones:</w:t>
      </w:r>
    </w:p>
    <w:p w14:paraId="7372618E" w14:textId="77777777" w:rsidR="0039727B" w:rsidRPr="0039727B" w:rsidRDefault="0039727B" w:rsidP="0039727B">
      <w:pPr>
        <w:snapToGrid w:val="0"/>
        <w:spacing w:after="0" w:line="276" w:lineRule="auto"/>
        <w:jc w:val="both"/>
        <w:rPr>
          <w:rFonts w:ascii="Verdana" w:eastAsia="Calibri" w:hAnsi="Verdana" w:cs="Arial"/>
          <w:lang w:val="es-ES"/>
        </w:rPr>
      </w:pPr>
      <w:r w:rsidRPr="0039727B">
        <w:rPr>
          <w:rFonts w:ascii="Verdana" w:eastAsia="Calibri" w:hAnsi="Verdana" w:cs="Arial"/>
          <w:lang w:val="es-ES"/>
        </w:rPr>
        <w:t xml:space="preserve"> </w:t>
      </w:r>
    </w:p>
    <w:p w14:paraId="061570B6" w14:textId="77777777" w:rsidR="0039727B" w:rsidRPr="0039727B" w:rsidRDefault="0039727B" w:rsidP="0039727B">
      <w:pPr>
        <w:numPr>
          <w:ilvl w:val="0"/>
          <w:numId w:val="18"/>
        </w:numPr>
        <w:snapToGrid w:val="0"/>
        <w:spacing w:after="0" w:line="276" w:lineRule="auto"/>
        <w:jc w:val="both"/>
        <w:rPr>
          <w:rFonts w:ascii="Verdana" w:eastAsia="Calibri" w:hAnsi="Verdana" w:cs="Arial"/>
          <w:kern w:val="2"/>
          <w:lang w:val="es-ES"/>
          <w14:ligatures w14:val="standardContextual"/>
        </w:rPr>
      </w:pPr>
      <w:r w:rsidRPr="0039727B">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7F91ADC9" w14:textId="77777777" w:rsidR="0039727B" w:rsidRPr="0039727B" w:rsidRDefault="0039727B" w:rsidP="0039727B">
      <w:pPr>
        <w:snapToGrid w:val="0"/>
        <w:spacing w:after="0" w:line="276" w:lineRule="auto"/>
        <w:ind w:left="720"/>
        <w:jc w:val="both"/>
        <w:rPr>
          <w:rFonts w:ascii="Verdana" w:eastAsia="Calibri" w:hAnsi="Verdana" w:cs="Arial"/>
          <w:kern w:val="2"/>
          <w:lang w:val="es-ES"/>
          <w14:ligatures w14:val="standardContextual"/>
        </w:rPr>
      </w:pPr>
    </w:p>
    <w:p w14:paraId="12C4F6A7" w14:textId="77777777" w:rsidR="0039727B" w:rsidRPr="0039727B" w:rsidRDefault="0039727B" w:rsidP="0039727B">
      <w:pPr>
        <w:numPr>
          <w:ilvl w:val="0"/>
          <w:numId w:val="18"/>
        </w:numPr>
        <w:snapToGrid w:val="0"/>
        <w:spacing w:after="0" w:line="276" w:lineRule="auto"/>
        <w:jc w:val="both"/>
        <w:rPr>
          <w:rFonts w:ascii="Verdana" w:eastAsia="Calibri" w:hAnsi="Verdana" w:cs="Arial"/>
          <w:kern w:val="2"/>
          <w:lang w:val="es-ES"/>
          <w14:ligatures w14:val="standardContextual"/>
        </w:rPr>
      </w:pPr>
      <w:bookmarkStart w:id="1" w:name="_Hlk178079372"/>
      <w:r w:rsidRPr="0039727B">
        <w:rPr>
          <w:rFonts w:ascii="Verdana" w:eastAsia="Calibri" w:hAnsi="Verdana" w:cs="Arial"/>
          <w:kern w:val="2"/>
          <w:lang w:val="es-ES_tradnl"/>
          <w14:ligatures w14:val="standardContextual"/>
        </w:rPr>
        <w:t xml:space="preserve">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w:t>
      </w:r>
      <w:bookmarkEnd w:id="1"/>
      <w:r w:rsidRPr="0039727B">
        <w:rPr>
          <w:rFonts w:ascii="Verdana" w:eastAsia="Calibri" w:hAnsi="Verdana" w:cs="Arial"/>
          <w:kern w:val="2"/>
          <w:lang w:val="es-ES_tradnl"/>
          <w14:ligatures w14:val="standardContextual"/>
        </w:rPr>
        <w:t>Sobre el particular, el Consejo de Estado</w:t>
      </w:r>
      <w:r w:rsidRPr="0039727B">
        <w:rPr>
          <w:rFonts w:ascii="Verdana" w:eastAsia="Calibri" w:hAnsi="Verdana" w:cs="Arial"/>
          <w:i/>
          <w:iCs/>
          <w:kern w:val="2"/>
          <w:vertAlign w:val="superscript"/>
          <w:lang w:val="es-ES_tradnl"/>
          <w14:ligatures w14:val="standardContextual"/>
        </w:rPr>
        <w:footnoteReference w:id="1"/>
      </w:r>
      <w:r w:rsidRPr="0039727B">
        <w:rPr>
          <w:rFonts w:ascii="Verdana" w:eastAsia="Calibri" w:hAnsi="Verdana" w:cs="Arial"/>
          <w:kern w:val="2"/>
          <w:lang w:val="es-ES_tradnl"/>
          <w14:ligatures w14:val="standardContextual"/>
        </w:rPr>
        <w:t xml:space="preserve"> señala:</w:t>
      </w:r>
    </w:p>
    <w:p w14:paraId="2937173F" w14:textId="77777777" w:rsidR="0039727B" w:rsidRPr="0039727B" w:rsidRDefault="0039727B" w:rsidP="0039727B">
      <w:pPr>
        <w:tabs>
          <w:tab w:val="left" w:pos="709"/>
        </w:tabs>
        <w:spacing w:after="0" w:line="276" w:lineRule="auto"/>
        <w:jc w:val="both"/>
        <w:rPr>
          <w:rFonts w:ascii="Verdana" w:eastAsia="Calibri" w:hAnsi="Verdana" w:cs="Arial"/>
          <w:kern w:val="2"/>
          <w:lang w:val="es-ES_tradnl"/>
          <w14:ligatures w14:val="standardContextual"/>
        </w:rPr>
      </w:pPr>
    </w:p>
    <w:p w14:paraId="418396AA" w14:textId="77777777" w:rsidR="0039727B" w:rsidRPr="0039727B" w:rsidRDefault="0039727B" w:rsidP="0039727B">
      <w:pPr>
        <w:tabs>
          <w:tab w:val="left" w:pos="709"/>
        </w:tabs>
        <w:spacing w:after="0" w:line="240" w:lineRule="auto"/>
        <w:ind w:left="709" w:right="709"/>
        <w:jc w:val="both"/>
        <w:rPr>
          <w:rFonts w:ascii="Verdana" w:eastAsia="Calibri" w:hAnsi="Verdana" w:cs="Arial"/>
          <w:kern w:val="2"/>
          <w:sz w:val="21"/>
          <w:szCs w:val="21"/>
          <w:lang w:val="es-ES"/>
          <w14:ligatures w14:val="standardContextual"/>
        </w:rPr>
      </w:pPr>
      <w:r w:rsidRPr="0039727B">
        <w:rPr>
          <w:rFonts w:ascii="Verdana" w:eastAsia="Calibri" w:hAnsi="Verdana" w:cs="Arial"/>
          <w:kern w:val="2"/>
          <w:sz w:val="21"/>
          <w:szCs w:val="21"/>
          <w:lang w:val="es-ES"/>
          <w14:ligatures w14:val="standardContextual"/>
        </w:rPr>
        <w:t xml:space="preserve">“Quiere con esto destacar la Sala que las causales de rechazo de las propuestas pueden ser legales y por lo mismo generan el efecto del descarte o exclusión de la oferta </w:t>
      </w:r>
      <w:proofErr w:type="spellStart"/>
      <w:r w:rsidRPr="0039727B">
        <w:rPr>
          <w:rFonts w:ascii="Verdana" w:eastAsia="Calibri" w:hAnsi="Verdana" w:cs="Arial"/>
          <w:kern w:val="2"/>
          <w:sz w:val="21"/>
          <w:szCs w:val="21"/>
          <w:lang w:val="es-ES"/>
          <w14:ligatures w14:val="standardContextual"/>
        </w:rPr>
        <w:t>ope</w:t>
      </w:r>
      <w:proofErr w:type="spellEnd"/>
      <w:r w:rsidRPr="0039727B">
        <w:rPr>
          <w:rFonts w:ascii="Verdana" w:eastAsia="Calibri" w:hAnsi="Verdana" w:cs="Arial"/>
          <w:kern w:val="2"/>
          <w:sz w:val="21"/>
          <w:szCs w:val="21"/>
          <w:lang w:val="es-ES"/>
          <w14:ligatures w14:val="standardContextual"/>
        </w:rPr>
        <w:t xml:space="preserve"> </w:t>
      </w:r>
      <w:proofErr w:type="spellStart"/>
      <w:r w:rsidRPr="0039727B">
        <w:rPr>
          <w:rFonts w:ascii="Verdana" w:eastAsia="Calibri" w:hAnsi="Verdana" w:cs="Arial"/>
          <w:kern w:val="2"/>
          <w:sz w:val="21"/>
          <w:szCs w:val="21"/>
          <w:lang w:val="es-ES"/>
          <w14:ligatures w14:val="standardContextual"/>
        </w:rPr>
        <w:t>legis</w:t>
      </w:r>
      <w:proofErr w:type="spellEnd"/>
      <w:r w:rsidRPr="0039727B">
        <w:rPr>
          <w:rFonts w:ascii="Verdana" w:eastAsia="Calibri" w:hAnsi="Verdana" w:cs="Arial"/>
          <w:kern w:val="2"/>
          <w:sz w:val="21"/>
          <w:szCs w:val="21"/>
          <w:lang w:val="es-ES"/>
          <w14:ligatures w14:val="standardContextual"/>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7037DC3C" w14:textId="77777777" w:rsidR="0039727B" w:rsidRPr="0039727B" w:rsidRDefault="0039727B" w:rsidP="0039727B">
      <w:pPr>
        <w:spacing w:after="0" w:line="276" w:lineRule="auto"/>
        <w:ind w:firstLine="708"/>
        <w:jc w:val="both"/>
        <w:rPr>
          <w:rFonts w:ascii="Verdana" w:eastAsia="Calibri" w:hAnsi="Verdana" w:cs="Arial"/>
          <w:kern w:val="2"/>
          <w:lang w:val="es-ES_tradnl"/>
          <w14:ligatures w14:val="standardContextual"/>
        </w:rPr>
      </w:pPr>
    </w:p>
    <w:p w14:paraId="2A08D9E4" w14:textId="77777777" w:rsidR="0039727B" w:rsidRPr="0039727B" w:rsidRDefault="0039727B" w:rsidP="0039727B">
      <w:pPr>
        <w:numPr>
          <w:ilvl w:val="0"/>
          <w:numId w:val="19"/>
        </w:numPr>
        <w:spacing w:after="0" w:line="276" w:lineRule="auto"/>
        <w:jc w:val="both"/>
        <w:rPr>
          <w:rFonts w:ascii="Verdana" w:eastAsia="Calibri" w:hAnsi="Verdana" w:cs="Arial"/>
          <w:kern w:val="2"/>
          <w:lang w:val="es-ES_tradnl"/>
          <w14:ligatures w14:val="standardContextual"/>
        </w:rPr>
      </w:pPr>
      <w:r w:rsidRPr="0039727B">
        <w:rPr>
          <w:rFonts w:ascii="Verdana" w:eastAsia="Calibri" w:hAnsi="Verdana" w:cs="Arial"/>
          <w:kern w:val="2"/>
          <w:lang w:val="es-ES_tradnl"/>
          <w14:ligatures w14:val="standardContextual"/>
        </w:rPr>
        <w:t xml:space="preserve">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w:t>
      </w:r>
      <w:r w:rsidRPr="0039727B">
        <w:rPr>
          <w:rFonts w:ascii="Verdana" w:eastAsia="Calibri" w:hAnsi="Verdana" w:cs="Arial"/>
          <w:kern w:val="2"/>
          <w:lang w:val="es-ES_tradnl"/>
          <w14:ligatures w14:val="standardContextual"/>
        </w:rPr>
        <w:lastRenderedPageBreak/>
        <w:t>mediante la cual se pretenda ampliar su alcance. Al respecto, el Consejo de Estado</w:t>
      </w:r>
      <w:r w:rsidRPr="0039727B">
        <w:rPr>
          <w:rFonts w:ascii="Aptos" w:eastAsia="Aptos" w:hAnsi="Aptos" w:cs="Times New Roman"/>
          <w:i/>
          <w:kern w:val="2"/>
          <w:sz w:val="24"/>
          <w:szCs w:val="24"/>
          <w:vertAlign w:val="superscript"/>
          <w:lang w:val="es-ES_tradnl"/>
          <w14:ligatures w14:val="standardContextual"/>
        </w:rPr>
        <w:footnoteReference w:id="2"/>
      </w:r>
      <w:r w:rsidRPr="0039727B">
        <w:rPr>
          <w:rFonts w:ascii="Verdana" w:eastAsia="Calibri" w:hAnsi="Verdana" w:cs="Arial"/>
          <w:kern w:val="2"/>
          <w:lang w:val="es-ES_tradnl"/>
          <w14:ligatures w14:val="standardContextual"/>
        </w:rPr>
        <w:t xml:space="preserve"> sostuvo: </w:t>
      </w:r>
    </w:p>
    <w:p w14:paraId="309BCF7A" w14:textId="77777777" w:rsidR="0039727B" w:rsidRPr="0039727B" w:rsidRDefault="0039727B" w:rsidP="0039727B">
      <w:pPr>
        <w:spacing w:after="0" w:line="276" w:lineRule="auto"/>
        <w:ind w:left="709" w:right="709"/>
        <w:jc w:val="both"/>
        <w:rPr>
          <w:rFonts w:ascii="Verdana" w:eastAsia="Times New Roman" w:hAnsi="Verdana" w:cs="Arial"/>
          <w:bCs/>
          <w:iCs/>
          <w:kern w:val="2"/>
          <w:lang w:val="es-ES_tradnl" w:eastAsia="es-MX"/>
          <w14:ligatures w14:val="standardContextual"/>
        </w:rPr>
      </w:pPr>
    </w:p>
    <w:p w14:paraId="64735861" w14:textId="77777777" w:rsidR="0039727B" w:rsidRPr="0039727B" w:rsidRDefault="0039727B" w:rsidP="0039727B">
      <w:pPr>
        <w:spacing w:after="0" w:line="240" w:lineRule="auto"/>
        <w:ind w:left="709" w:right="709"/>
        <w:jc w:val="both"/>
        <w:rPr>
          <w:rFonts w:ascii="Verdana" w:eastAsia="Times New Roman" w:hAnsi="Verdana" w:cs="Arial"/>
          <w:bCs/>
          <w:iCs/>
          <w:kern w:val="2"/>
          <w:sz w:val="21"/>
          <w:szCs w:val="21"/>
          <w:lang w:val="es-ES_tradnl" w:eastAsia="es-MX"/>
          <w14:ligatures w14:val="standardContextual"/>
        </w:rPr>
      </w:pPr>
      <w:r w:rsidRPr="0039727B">
        <w:rPr>
          <w:rFonts w:ascii="Verdana" w:eastAsia="Times New Roman" w:hAnsi="Verdana" w:cs="Arial"/>
          <w:bCs/>
          <w:iCs/>
          <w:kern w:val="2"/>
          <w:sz w:val="21"/>
          <w:szCs w:val="21"/>
          <w:lang w:val="es-ES_tradnl" w:eastAsia="es-MX"/>
          <w14:ligatures w14:val="standardContextual"/>
        </w:rPr>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p>
    <w:p w14:paraId="38127202" w14:textId="77777777" w:rsidR="0039727B" w:rsidRPr="0039727B" w:rsidRDefault="0039727B" w:rsidP="0039727B">
      <w:pPr>
        <w:spacing w:after="0" w:line="276" w:lineRule="auto"/>
        <w:ind w:left="709" w:right="709"/>
        <w:jc w:val="both"/>
        <w:rPr>
          <w:rFonts w:ascii="Verdana" w:eastAsia="Times New Roman" w:hAnsi="Verdana" w:cs="Arial"/>
          <w:bCs/>
          <w:iCs/>
          <w:kern w:val="2"/>
          <w:lang w:val="es-ES_tradnl" w:eastAsia="es-MX"/>
          <w14:ligatures w14:val="standardContextual"/>
        </w:rPr>
      </w:pPr>
    </w:p>
    <w:p w14:paraId="36AC785D" w14:textId="77777777" w:rsidR="0039727B" w:rsidRPr="0039727B" w:rsidRDefault="0039727B" w:rsidP="0039727B">
      <w:pPr>
        <w:numPr>
          <w:ilvl w:val="0"/>
          <w:numId w:val="19"/>
        </w:numPr>
        <w:spacing w:after="0" w:line="276" w:lineRule="auto"/>
        <w:contextualSpacing/>
        <w:jc w:val="both"/>
        <w:rPr>
          <w:rFonts w:ascii="Verdana" w:eastAsia="Calibri" w:hAnsi="Verdana" w:cs="Arial"/>
          <w:kern w:val="2"/>
          <w:lang w:val="es-ES"/>
          <w14:ligatures w14:val="standardContextual"/>
        </w:rPr>
      </w:pPr>
      <w:r w:rsidRPr="0039727B">
        <w:rPr>
          <w:rFonts w:ascii="Verdana" w:eastAsia="Calibri" w:hAnsi="Verdana" w:cs="Arial"/>
          <w:kern w:val="2"/>
          <w:lang w:val="es-ES"/>
          <w14:ligatures w14:val="standardContextual"/>
        </w:rPr>
        <w:t>Por lo expuesto, las causales de rechazo deben estar necesariamente nominadas en la Ley o en el pliego de condiciones, y no puede realizarse, frente a su redacción, ninguna interpretación extensiva. Por esta razón si el Estatuto General de Contratación de la Administración Pública o el pliego de condiciones no establecen de manera literal una causal de rechazo, en los términos expuestos, no podrán rechazarse las propuestas.</w:t>
      </w:r>
    </w:p>
    <w:p w14:paraId="1192661F" w14:textId="77777777" w:rsidR="0039727B" w:rsidRPr="0039727B" w:rsidRDefault="0039727B" w:rsidP="0039727B">
      <w:pPr>
        <w:spacing w:after="0" w:line="276" w:lineRule="auto"/>
        <w:ind w:left="720"/>
        <w:contextualSpacing/>
        <w:jc w:val="both"/>
        <w:rPr>
          <w:rFonts w:ascii="Verdana" w:eastAsia="Calibri" w:hAnsi="Verdana" w:cs="Arial"/>
          <w:kern w:val="2"/>
          <w:lang w:val="es-ES_tradnl"/>
          <w14:ligatures w14:val="standardContextual"/>
        </w:rPr>
      </w:pPr>
    </w:p>
    <w:p w14:paraId="3864810A" w14:textId="77777777" w:rsidR="0039727B" w:rsidRPr="0039727B" w:rsidRDefault="0039727B" w:rsidP="0039727B">
      <w:pPr>
        <w:numPr>
          <w:ilvl w:val="0"/>
          <w:numId w:val="19"/>
        </w:numPr>
        <w:spacing w:after="0" w:line="276" w:lineRule="auto"/>
        <w:contextualSpacing/>
        <w:jc w:val="both"/>
        <w:rPr>
          <w:rFonts w:ascii="Verdana" w:eastAsia="Calibri" w:hAnsi="Verdana" w:cs="Arial"/>
          <w:kern w:val="2"/>
          <w:lang w:val="es-ES_tradnl"/>
          <w14:ligatures w14:val="standardContextual"/>
        </w:rPr>
      </w:pPr>
      <w:r w:rsidRPr="0039727B">
        <w:rPr>
          <w:rFonts w:ascii="Verdana" w:eastAsia="Calibri" w:hAnsi="Verdana" w:cs="Arial"/>
          <w:lang w:val="es-MX" w:eastAsia="es-MX"/>
        </w:rPr>
        <w:t xml:space="preserve">Adicionalmente, la Agencia Nacional de Contratación Pública – Colombia Compra Eficiente, mediante los conceptos con radicados Nos. 2201913000007117 del 25 de septiembre de 2019, 2201913000009538 del 23 de diciembre de 2019 y C- 716 del 30 de octubre de 2020,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w:t>
      </w:r>
      <w:r w:rsidRPr="0039727B">
        <w:rPr>
          <w:rFonts w:ascii="Verdana" w:eastAsia="Calibri" w:hAnsi="Verdana" w:cs="Arial"/>
          <w:lang w:val="es-MX" w:eastAsia="es-MX"/>
        </w:rPr>
        <w:lastRenderedPageBreak/>
        <w:t>interpretación extensiva o de otra índole, mediante la cual se pretenda ampliar su alcance.</w:t>
      </w:r>
    </w:p>
    <w:p w14:paraId="02B724F1" w14:textId="77777777" w:rsidR="0039727B" w:rsidRPr="0039727B" w:rsidRDefault="0039727B" w:rsidP="0039727B">
      <w:pPr>
        <w:spacing w:after="0" w:line="276" w:lineRule="auto"/>
        <w:jc w:val="both"/>
        <w:rPr>
          <w:rFonts w:ascii="Verdana" w:eastAsia="Calibri" w:hAnsi="Verdana" w:cs="Arial"/>
          <w:kern w:val="2"/>
          <w:lang w:val="es-ES_tradnl"/>
          <w14:ligatures w14:val="standardContextual"/>
        </w:rPr>
      </w:pPr>
    </w:p>
    <w:p w14:paraId="4710EFE4" w14:textId="77777777" w:rsidR="0039727B" w:rsidRPr="0039727B" w:rsidRDefault="0039727B" w:rsidP="0039727B">
      <w:pPr>
        <w:numPr>
          <w:ilvl w:val="0"/>
          <w:numId w:val="20"/>
        </w:numPr>
        <w:spacing w:after="0" w:line="276" w:lineRule="auto"/>
        <w:contextualSpacing/>
        <w:jc w:val="both"/>
        <w:rPr>
          <w:rFonts w:ascii="Verdana" w:eastAsia="Arial" w:hAnsi="Verdana" w:cs="Arial"/>
          <w:color w:val="000000"/>
          <w:kern w:val="2"/>
          <w14:ligatures w14:val="standardContextual"/>
        </w:rPr>
      </w:pPr>
      <w:r w:rsidRPr="0039727B">
        <w:rPr>
          <w:rFonts w:ascii="Verdana" w:eastAsia="Arial" w:hAnsi="Verdana" w:cs="Arial"/>
          <w:color w:val="000000"/>
          <w:kern w:val="2"/>
          <w14:ligatures w14:val="standardContextual"/>
        </w:rPr>
        <w:t>La decisión de rechazar,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6FCFDC76" w14:textId="77777777" w:rsidR="0039727B" w:rsidRPr="0039727B" w:rsidRDefault="0039727B" w:rsidP="0039727B">
      <w:pPr>
        <w:spacing w:after="0" w:line="276" w:lineRule="auto"/>
        <w:contextualSpacing/>
        <w:jc w:val="both"/>
        <w:rPr>
          <w:rFonts w:ascii="Verdana" w:eastAsia="Arial" w:hAnsi="Verdana" w:cs="Arial"/>
          <w:color w:val="000000"/>
          <w:kern w:val="2"/>
          <w14:ligatures w14:val="standardContextual"/>
        </w:rPr>
      </w:pPr>
    </w:p>
    <w:p w14:paraId="14499B86" w14:textId="77777777" w:rsidR="0039727B" w:rsidRPr="0039727B" w:rsidRDefault="0039727B" w:rsidP="0039727B">
      <w:pPr>
        <w:numPr>
          <w:ilvl w:val="0"/>
          <w:numId w:val="20"/>
        </w:numPr>
        <w:spacing w:after="0" w:line="276" w:lineRule="auto"/>
        <w:contextualSpacing/>
        <w:jc w:val="both"/>
        <w:rPr>
          <w:rFonts w:ascii="Verdana" w:eastAsia="Calibri" w:hAnsi="Verdana" w:cs="Calibri"/>
        </w:rPr>
      </w:pPr>
      <w:r w:rsidRPr="0039727B">
        <w:rPr>
          <w:rFonts w:ascii="Verdana" w:eastAsia="Calibri" w:hAnsi="Verdana" w:cs="Calibri"/>
        </w:rPr>
        <w:t xml:space="preserve">Es necesario indicar que el documento “GUÍA PARA DETERMINAR Y VERIFICAR LA CAPACIDAD RESIDUAL DEL PROPONENTE EN LOS PROCESOS DE CONTRATACIÓN DE OBRA PÚBLICA” de Colombia Compra Eficiente, que se indica en el numeral </w:t>
      </w:r>
      <w:bookmarkStart w:id="2" w:name="_Toc107994844"/>
      <w:r w:rsidRPr="0039727B">
        <w:rPr>
          <w:rFonts w:ascii="Verdana" w:eastAsia="Calibri" w:hAnsi="Verdana" w:cs="Calibri"/>
        </w:rPr>
        <w:t>3.10.2. CÁLCULO DE LA CAPACIDAD RESIDUAL DEL PROPONENTE (CRP)</w:t>
      </w:r>
      <w:bookmarkEnd w:id="2"/>
      <w:r w:rsidRPr="0039727B">
        <w:rPr>
          <w:rFonts w:ascii="Verdana" w:eastAsia="Calibri" w:hAnsi="Verdana" w:cs="Calibri"/>
        </w:rPr>
        <w:t xml:space="preserve"> del documento base de los documentos tipo de infraestructura de transporte, es la Guía que se recomienda para establecer la capacidad residual, disponible en la página web: </w:t>
      </w:r>
      <w:hyperlink r:id="rId11" w:history="1">
        <w:r w:rsidRPr="0039727B">
          <w:rPr>
            <w:rFonts w:ascii="Verdana" w:eastAsia="Calibri" w:hAnsi="Verdana" w:cs="Calibri"/>
          </w:rPr>
          <w:t>https://www.colombiacompra.gov.co/manuales-guias-y-pliegos-tipo/manuales-y-guias/</w:t>
        </w:r>
      </w:hyperlink>
      <w:r w:rsidRPr="0039727B">
        <w:rPr>
          <w:rFonts w:ascii="Verdana" w:eastAsia="Calibri" w:hAnsi="Verdana" w:cs="Calibri"/>
        </w:rPr>
        <w:t>, así como el aplicativo para tal fin por Colombia Compra Eficiente.</w:t>
      </w:r>
    </w:p>
    <w:p w14:paraId="66E01282" w14:textId="77777777" w:rsidR="0039727B" w:rsidRPr="0039727B" w:rsidRDefault="0039727B" w:rsidP="0039727B">
      <w:pPr>
        <w:spacing w:after="0" w:line="276" w:lineRule="auto"/>
        <w:jc w:val="both"/>
        <w:rPr>
          <w:rFonts w:ascii="Verdana" w:eastAsia="Calibri" w:hAnsi="Verdana" w:cs="Calibri"/>
        </w:rPr>
      </w:pPr>
    </w:p>
    <w:p w14:paraId="3D32F339" w14:textId="77777777" w:rsidR="0039727B" w:rsidRPr="0039727B" w:rsidRDefault="0039727B" w:rsidP="0039727B">
      <w:pPr>
        <w:numPr>
          <w:ilvl w:val="0"/>
          <w:numId w:val="20"/>
        </w:numPr>
        <w:spacing w:after="0" w:line="276" w:lineRule="auto"/>
        <w:contextualSpacing/>
        <w:jc w:val="both"/>
        <w:rPr>
          <w:rFonts w:ascii="Verdana" w:eastAsia="Calibri" w:hAnsi="Verdana" w:cs="Calibri"/>
        </w:rPr>
      </w:pPr>
      <w:r w:rsidRPr="0039727B">
        <w:rPr>
          <w:rFonts w:ascii="Verdana" w:eastAsia="Calibri" w:hAnsi="Verdana" w:cs="Calibri"/>
        </w:rPr>
        <w:t>Es importante señalar que el Documento Base –de los documentos tipo de licitación de obra pública de infraestructura de transporte, los cuales se tendrán en cuenta para el desarrollo de esta consulta–, en el numeral 3.5., establece las consideraciones para que los proponentes acrediten su experiencia, así:</w:t>
      </w:r>
    </w:p>
    <w:p w14:paraId="66A99E0F" w14:textId="77777777" w:rsidR="0039727B" w:rsidRPr="0039727B" w:rsidRDefault="0039727B" w:rsidP="0039727B">
      <w:pPr>
        <w:spacing w:after="0" w:line="276" w:lineRule="auto"/>
        <w:jc w:val="both"/>
        <w:rPr>
          <w:rFonts w:ascii="Verdana" w:eastAsia="Calibri" w:hAnsi="Verdana" w:cs="Calibri"/>
        </w:rPr>
      </w:pPr>
    </w:p>
    <w:p w14:paraId="142182D0"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“Los proponentes deben acreditar su experiencia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w:t>
      </w:r>
    </w:p>
    <w:p w14:paraId="64A42579" w14:textId="77777777" w:rsidR="0039727B" w:rsidRPr="0039727B" w:rsidRDefault="0039727B" w:rsidP="0039727B">
      <w:pPr>
        <w:spacing w:after="0" w:line="276" w:lineRule="auto"/>
        <w:jc w:val="both"/>
        <w:rPr>
          <w:rFonts w:ascii="Verdana" w:eastAsia="Calibri" w:hAnsi="Verdana" w:cs="Calibri"/>
          <w:lang w:val="es-MX"/>
        </w:rPr>
      </w:pPr>
    </w:p>
    <w:p w14:paraId="083E90D7" w14:textId="77777777" w:rsidR="0039727B" w:rsidRPr="0039727B" w:rsidRDefault="0039727B" w:rsidP="0039727B">
      <w:pPr>
        <w:numPr>
          <w:ilvl w:val="0"/>
          <w:numId w:val="21"/>
        </w:numPr>
        <w:spacing w:after="0" w:line="276" w:lineRule="auto"/>
        <w:contextualSpacing/>
        <w:jc w:val="both"/>
        <w:rPr>
          <w:rFonts w:ascii="Verdana" w:eastAsia="Calibri" w:hAnsi="Verdana" w:cs="Calibri"/>
          <w:bCs/>
          <w:lang w:val="es-MX"/>
        </w:rPr>
      </w:pPr>
      <w:r w:rsidRPr="0039727B">
        <w:rPr>
          <w:rFonts w:ascii="Verdana" w:eastAsia="Calibri" w:hAnsi="Verdana" w:cs="Calibri"/>
          <w:lang w:val="es-MX"/>
        </w:rPr>
        <w:t xml:space="preserve">En igual sentido, el literal B, del numeral </w:t>
      </w:r>
      <w:bookmarkStart w:id="3" w:name="_Toc107994829"/>
      <w:r w:rsidRPr="0039727B">
        <w:rPr>
          <w:rFonts w:ascii="Verdana" w:eastAsia="Calibri" w:hAnsi="Verdana" w:cs="Calibri"/>
          <w:lang w:val="es-MX"/>
        </w:rPr>
        <w:t xml:space="preserve">3.5.2. </w:t>
      </w:r>
      <w:r w:rsidRPr="0039727B">
        <w:rPr>
          <w:rFonts w:ascii="Verdana" w:eastAsia="Calibri" w:hAnsi="Verdana" w:cs="Calibri"/>
          <w:bCs/>
          <w:lang w:val="es-MX"/>
        </w:rPr>
        <w:t xml:space="preserve">CARACTERÍSTICAS DE LOS CONTRATOS PRESENTADOS PARA ACREDITAR LA EXPERIENCIA </w:t>
      </w:r>
      <w:r w:rsidRPr="0039727B">
        <w:rPr>
          <w:rFonts w:ascii="Verdana" w:eastAsia="Calibri" w:hAnsi="Verdana" w:cs="Calibri"/>
          <w:bCs/>
          <w:lang w:val="es-MX"/>
        </w:rPr>
        <w:lastRenderedPageBreak/>
        <w:t>EXIGIDA</w:t>
      </w:r>
      <w:bookmarkEnd w:id="3"/>
      <w:r w:rsidRPr="0039727B">
        <w:rPr>
          <w:rFonts w:ascii="Verdana" w:eastAsia="Calibri" w:hAnsi="Verdana" w:cs="Calibri"/>
          <w:b/>
          <w:lang w:val="es-MX"/>
        </w:rPr>
        <w:t xml:space="preserve"> </w:t>
      </w:r>
      <w:r w:rsidRPr="0039727B">
        <w:rPr>
          <w:rFonts w:ascii="Verdana" w:eastAsia="Calibri" w:hAnsi="Verdana" w:cs="Calibri"/>
          <w:bCs/>
          <w:lang w:val="es-MX"/>
        </w:rPr>
        <w:t>del Documento Base indica, sobre los contratos que relacione el proponente para efectos de acreditar su experiencia en el proceso de selección respectivo:</w:t>
      </w:r>
    </w:p>
    <w:p w14:paraId="63474193" w14:textId="77777777" w:rsidR="0039727B" w:rsidRPr="0039727B" w:rsidRDefault="0039727B" w:rsidP="0039727B">
      <w:pPr>
        <w:spacing w:after="0" w:line="276" w:lineRule="auto"/>
        <w:jc w:val="both"/>
        <w:rPr>
          <w:rFonts w:ascii="Verdana" w:eastAsia="Calibri" w:hAnsi="Verdana" w:cs="Calibri"/>
          <w:bCs/>
          <w:lang w:val="es-MX"/>
        </w:rPr>
      </w:pPr>
    </w:p>
    <w:p w14:paraId="3FAB8A74"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“B. Estar relacionados en el Formato 3 – Experiencia con el número consecutivo del contrato en el RUP. Los Proponentes Plurales deben indicar qué integrante aporta cada uno de los contratos señalados en el Formato 3 – Experiencia. Este documento debe presentarlo el Proponente Plural y no sus integrantes.</w:t>
      </w:r>
    </w:p>
    <w:p w14:paraId="32EB6D1E"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p>
    <w:p w14:paraId="0CC5DDBC"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1DD833DD"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p>
    <w:p w14:paraId="0A4A7277"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w:t>
      </w:r>
    </w:p>
    <w:p w14:paraId="6515F627"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p>
    <w:p w14:paraId="1691157B"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El Formato 3 – Experiencia deberá aportarse diligenciado en formato Excel.”</w:t>
      </w:r>
    </w:p>
    <w:p w14:paraId="56F1C4F5" w14:textId="77777777" w:rsidR="0039727B" w:rsidRPr="0039727B" w:rsidRDefault="0039727B" w:rsidP="0039727B">
      <w:pPr>
        <w:spacing w:after="0" w:line="276" w:lineRule="auto"/>
        <w:jc w:val="both"/>
        <w:rPr>
          <w:rFonts w:ascii="Verdana" w:eastAsia="Calibri" w:hAnsi="Verdana" w:cs="Calibri"/>
          <w:bCs/>
          <w:lang w:val="es-MX"/>
        </w:rPr>
      </w:pPr>
    </w:p>
    <w:p w14:paraId="141DCA77" w14:textId="77777777" w:rsidR="0039727B" w:rsidRPr="0039727B" w:rsidRDefault="0039727B" w:rsidP="0039727B">
      <w:pPr>
        <w:keepNext/>
        <w:keepLines/>
        <w:numPr>
          <w:ilvl w:val="0"/>
          <w:numId w:val="21"/>
        </w:numPr>
        <w:spacing w:before="40" w:after="0" w:line="276" w:lineRule="auto"/>
        <w:contextualSpacing/>
        <w:jc w:val="both"/>
        <w:outlineLvl w:val="2"/>
        <w:rPr>
          <w:rFonts w:ascii="Verdana" w:eastAsia="Calibri" w:hAnsi="Verdana" w:cs="Calibri"/>
          <w:bCs/>
          <w:lang w:val="es-MX"/>
        </w:rPr>
      </w:pPr>
      <w:r w:rsidRPr="0039727B">
        <w:rPr>
          <w:rFonts w:ascii="Verdana" w:eastAsia="Calibri" w:hAnsi="Verdana" w:cs="Calibri"/>
          <w:bCs/>
          <w:lang w:val="es-MX"/>
        </w:rPr>
        <w:t>De otro lado, es importante resaltar que el numeral</w:t>
      </w:r>
      <w:r w:rsidRPr="0039727B">
        <w:rPr>
          <w:rFonts w:ascii="Verdana" w:eastAsia="Calibri" w:hAnsi="Verdana" w:cs="Calibri"/>
          <w:b/>
          <w:lang w:val="es-MX"/>
        </w:rPr>
        <w:t xml:space="preserve"> </w:t>
      </w:r>
      <w:r w:rsidRPr="0039727B">
        <w:rPr>
          <w:rFonts w:ascii="Verdana" w:eastAsia="Calibri" w:hAnsi="Verdana" w:cs="Calibri"/>
          <w:bCs/>
          <w:lang w:val="es-MX"/>
        </w:rPr>
        <w:t xml:space="preserve">3.5.6. </w:t>
      </w:r>
      <w:bookmarkStart w:id="4" w:name="_Toc107994833"/>
      <w:r w:rsidRPr="0039727B">
        <w:rPr>
          <w:rFonts w:ascii="Verdana" w:eastAsia="Calibri" w:hAnsi="Verdana" w:cs="Calibri"/>
          <w:bCs/>
          <w:lang w:val="es-MX"/>
        </w:rPr>
        <w:t>DOCUMENTOS VÁLIDOS PARA LA ACREDITACIÓN DE LA EXPERIENCIA REQUERIDA</w:t>
      </w:r>
      <w:bookmarkEnd w:id="4"/>
      <w:r w:rsidRPr="0039727B">
        <w:rPr>
          <w:rFonts w:ascii="Verdana" w:eastAsia="Calibri" w:hAnsi="Verdana" w:cs="Calibri"/>
          <w:bCs/>
          <w:lang w:val="es-MX"/>
        </w:rPr>
        <w:t xml:space="preserve"> del Documento Base, señala que:</w:t>
      </w:r>
    </w:p>
    <w:p w14:paraId="55ECFA71" w14:textId="77777777" w:rsidR="0039727B" w:rsidRPr="0039727B" w:rsidRDefault="0039727B" w:rsidP="0039727B">
      <w:pPr>
        <w:spacing w:after="0" w:line="276" w:lineRule="auto"/>
        <w:rPr>
          <w:rFonts w:ascii="Verdana" w:eastAsia="Calibri" w:hAnsi="Verdana" w:cs="Times New Roman"/>
          <w:lang w:val="es-MX"/>
        </w:rPr>
      </w:pPr>
    </w:p>
    <w:p w14:paraId="7F509844"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“En aquellos casos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w:t>
      </w:r>
    </w:p>
    <w:p w14:paraId="51EE5307" w14:textId="77777777" w:rsidR="0039727B" w:rsidRPr="0039727B" w:rsidRDefault="0039727B" w:rsidP="0039727B">
      <w:pPr>
        <w:spacing w:after="0" w:line="276" w:lineRule="auto"/>
        <w:rPr>
          <w:rFonts w:ascii="Verdana" w:eastAsia="Times New Roman" w:hAnsi="Verdana" w:cs="Times New Roman"/>
          <w:lang w:val="es-MX"/>
        </w:rPr>
      </w:pPr>
    </w:p>
    <w:p w14:paraId="3EF403CB" w14:textId="77777777" w:rsidR="0039727B" w:rsidRPr="0039727B" w:rsidRDefault="0039727B" w:rsidP="0039727B">
      <w:pPr>
        <w:numPr>
          <w:ilvl w:val="0"/>
          <w:numId w:val="21"/>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 xml:space="preserve">De los anteriores apartes del Documento Base, se puede inferir que la presentación de Anexo 1 – Certificación de contratos de la Guía, se debe presentar en los eventos en que la información contenida en el RUP no sea suficiente, o cuando se incluya en los formatos de experiencia, contratos o información no relacionada en el RUP, que deba ser objeto de </w:t>
      </w:r>
      <w:r w:rsidRPr="0039727B">
        <w:rPr>
          <w:rFonts w:ascii="Verdana" w:eastAsia="Calibri" w:hAnsi="Verdana" w:cs="Calibri"/>
          <w:lang w:val="es-MX"/>
        </w:rPr>
        <w:lastRenderedPageBreak/>
        <w:t>verificación por parte de las entidades en el proceso de selección que se adelante.</w:t>
      </w:r>
    </w:p>
    <w:p w14:paraId="32424AD4" w14:textId="77777777" w:rsidR="0039727B" w:rsidRPr="0039727B" w:rsidRDefault="0039727B" w:rsidP="0039727B">
      <w:pPr>
        <w:spacing w:after="0" w:line="276" w:lineRule="auto"/>
        <w:jc w:val="both"/>
        <w:rPr>
          <w:rFonts w:ascii="Verdana" w:eastAsia="Calibri" w:hAnsi="Verdana" w:cs="Calibri"/>
          <w:lang w:val="es-MX"/>
        </w:rPr>
      </w:pPr>
    </w:p>
    <w:p w14:paraId="343D76D1" w14:textId="77777777" w:rsidR="0039727B" w:rsidRPr="0039727B" w:rsidRDefault="0039727B" w:rsidP="0039727B">
      <w:pPr>
        <w:numPr>
          <w:ilvl w:val="0"/>
          <w:numId w:val="21"/>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 xml:space="preserve">Con respecto a los contratos que se pretendan acreditar para efectos de calcular la Capacidad Residual de contratación en el factor Experiencia, el Documento Base establece lo siguiente, </w:t>
      </w:r>
      <w:r w:rsidRPr="0039727B">
        <w:rPr>
          <w:rFonts w:ascii="Verdana" w:eastAsia="Calibri" w:hAnsi="Verdana" w:cs="Calibri"/>
        </w:rPr>
        <w:t xml:space="preserve">de acuerdo con el literal B – Experiencia del numeral 3.10.2.: </w:t>
      </w:r>
    </w:p>
    <w:p w14:paraId="3503F490" w14:textId="77777777" w:rsidR="0039727B" w:rsidRPr="0039727B" w:rsidRDefault="0039727B" w:rsidP="0039727B">
      <w:pPr>
        <w:spacing w:after="0" w:line="276" w:lineRule="auto"/>
        <w:ind w:left="709" w:right="709"/>
        <w:jc w:val="both"/>
        <w:rPr>
          <w:rFonts w:ascii="Verdana" w:eastAsia="Calibri" w:hAnsi="Verdana" w:cs="Calibri"/>
        </w:rPr>
      </w:pPr>
    </w:p>
    <w:p w14:paraId="73C9FA79"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rPr>
        <w:t xml:space="preserve">“[…] para propósitos de la capacidad residual es acreditado por medio de la relación entre: i) el valor total en pesos de los contratos relacionados con la actividad de la construcción inscritos por el Proponente en el RUP, o Formato 5 – Capacidad residual en el segmento 72 “Servicios de Edificación, Construcción de Instalaciones y Mantenimiento” del Clasificador de Bienes y Servicios; y ii) el presupuesto oficial estimado del proceso de contratación.” </w:t>
      </w:r>
    </w:p>
    <w:p w14:paraId="269ADCB5" w14:textId="77777777" w:rsidR="0039727B" w:rsidRPr="0039727B" w:rsidRDefault="0039727B" w:rsidP="0039727B">
      <w:pPr>
        <w:spacing w:after="0" w:line="276" w:lineRule="auto"/>
        <w:jc w:val="both"/>
        <w:rPr>
          <w:rFonts w:ascii="Verdana" w:eastAsia="Calibri" w:hAnsi="Verdana" w:cs="Calibri"/>
        </w:rPr>
      </w:pPr>
    </w:p>
    <w:p w14:paraId="1E11E333" w14:textId="77777777" w:rsidR="0039727B" w:rsidRPr="0039727B" w:rsidRDefault="0039727B" w:rsidP="0039727B">
      <w:pPr>
        <w:numPr>
          <w:ilvl w:val="0"/>
          <w:numId w:val="22"/>
        </w:numPr>
        <w:spacing w:after="0" w:line="276" w:lineRule="auto"/>
        <w:contextualSpacing/>
        <w:jc w:val="both"/>
        <w:rPr>
          <w:rFonts w:ascii="Verdana" w:eastAsia="Calibri" w:hAnsi="Verdana" w:cs="Calibri"/>
        </w:rPr>
      </w:pPr>
      <w:r w:rsidRPr="0039727B">
        <w:rPr>
          <w:rFonts w:ascii="Verdana" w:eastAsia="Calibri" w:hAnsi="Verdana" w:cs="Calibri"/>
        </w:rPr>
        <w:t>En este sentido, los contratos que se pretendan acreditar para efectos de su cálculo deben estar inscritos en el RUP o descritos en el Formato 5 de Capacidad Residual, tal como lo señala el Documento Base:</w:t>
      </w:r>
    </w:p>
    <w:p w14:paraId="2F45CE08" w14:textId="77777777" w:rsidR="0039727B" w:rsidRPr="0039727B" w:rsidRDefault="0039727B" w:rsidP="0039727B">
      <w:pPr>
        <w:spacing w:after="0" w:line="276" w:lineRule="auto"/>
        <w:jc w:val="both"/>
        <w:rPr>
          <w:rFonts w:ascii="Verdana" w:eastAsia="Calibri" w:hAnsi="Verdana" w:cs="Calibri"/>
          <w:lang w:val="es-MX"/>
        </w:rPr>
      </w:pPr>
    </w:p>
    <w:p w14:paraId="23FDCCB8"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“Para acreditar el factor (E), el proponente debe diligenciar el Formato 5 – Capacidad residual el cual contiene los contratos inscritos en el segmento 72 y su valor total en pesos colombianos liquidados con el SMMLV. Así mismo, el presupuesto oficial estimado debe ser liquidado con el SMMLV para el año de publicación del pliego de condiciones definitivo del proceso de contratación.”</w:t>
      </w:r>
    </w:p>
    <w:p w14:paraId="5AA37114" w14:textId="77777777" w:rsidR="0039727B" w:rsidRPr="0039727B" w:rsidRDefault="0039727B" w:rsidP="0039727B">
      <w:pPr>
        <w:spacing w:after="0" w:line="276" w:lineRule="auto"/>
        <w:jc w:val="both"/>
        <w:rPr>
          <w:rFonts w:ascii="Verdana" w:eastAsia="Calibri" w:hAnsi="Verdana" w:cs="Calibri"/>
          <w:lang w:val="es-MX"/>
        </w:rPr>
      </w:pPr>
    </w:p>
    <w:p w14:paraId="4B35FBFC" w14:textId="77777777" w:rsidR="0039727B" w:rsidRPr="0039727B" w:rsidRDefault="0039727B" w:rsidP="0039727B">
      <w:pPr>
        <w:numPr>
          <w:ilvl w:val="0"/>
          <w:numId w:val="22"/>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Este Anexo incluye los siguientes aspectos necesarios para calcular la capacidad residual del oferente: a) contratos inscritos en el segmento 72; b) Porcentaje de participación en el evento de proponente plural, y c) Valor de los contratos ejecutados.</w:t>
      </w:r>
    </w:p>
    <w:p w14:paraId="7110C5B7" w14:textId="77777777" w:rsidR="0039727B" w:rsidRPr="0039727B" w:rsidRDefault="0039727B" w:rsidP="0039727B">
      <w:pPr>
        <w:spacing w:after="0" w:line="276" w:lineRule="auto"/>
        <w:jc w:val="both"/>
        <w:rPr>
          <w:rFonts w:ascii="Verdana" w:eastAsia="Calibri" w:hAnsi="Verdana" w:cs="Calibri"/>
          <w:lang w:val="es-MX"/>
        </w:rPr>
      </w:pPr>
    </w:p>
    <w:p w14:paraId="2B7DEF26" w14:textId="77777777" w:rsidR="0039727B" w:rsidRPr="0039727B" w:rsidRDefault="0039727B" w:rsidP="0039727B">
      <w:pPr>
        <w:spacing w:after="0" w:line="276" w:lineRule="auto"/>
        <w:jc w:val="center"/>
        <w:rPr>
          <w:rFonts w:ascii="Verdana" w:eastAsia="Calibri" w:hAnsi="Verdana" w:cs="Calibri"/>
          <w:lang w:val="es-MX"/>
        </w:rPr>
      </w:pPr>
      <w:r w:rsidRPr="0039727B">
        <w:rPr>
          <w:rFonts w:ascii="Verdana" w:eastAsia="Calibri" w:hAnsi="Verdana" w:cs="Calibri"/>
          <w:noProof/>
          <w:lang w:val="es-MX"/>
        </w:rPr>
        <w:lastRenderedPageBreak/>
        <w:drawing>
          <wp:inline distT="0" distB="0" distL="0" distR="0" wp14:anchorId="5BFB8E3F" wp14:editId="5C8CE2D3">
            <wp:extent cx="4114859" cy="1928495"/>
            <wp:effectExtent l="0" t="0" r="0" b="1905"/>
            <wp:docPr id="204335099"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5099" name="Imagen 2"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133369" cy="1937170"/>
                    </a:xfrm>
                    <a:prstGeom prst="rect">
                      <a:avLst/>
                    </a:prstGeom>
                  </pic:spPr>
                </pic:pic>
              </a:graphicData>
            </a:graphic>
          </wp:inline>
        </w:drawing>
      </w:r>
    </w:p>
    <w:p w14:paraId="194C4D6A" w14:textId="77777777" w:rsidR="0039727B" w:rsidRPr="0039727B" w:rsidRDefault="0039727B" w:rsidP="0039727B">
      <w:pPr>
        <w:spacing w:after="0" w:line="276" w:lineRule="auto"/>
        <w:contextualSpacing/>
        <w:jc w:val="both"/>
        <w:rPr>
          <w:rFonts w:ascii="Verdana" w:eastAsia="Calibri" w:hAnsi="Verdana" w:cs="Calibri"/>
          <w:lang w:val="es-MX"/>
        </w:rPr>
      </w:pPr>
    </w:p>
    <w:p w14:paraId="1F428F5C" w14:textId="77777777" w:rsidR="0039727B" w:rsidRPr="0039727B" w:rsidRDefault="0039727B" w:rsidP="0039727B">
      <w:pPr>
        <w:numPr>
          <w:ilvl w:val="0"/>
          <w:numId w:val="22"/>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 xml:space="preserve">Por otra parte, en el Formato 5 de Capacidad Residual que se incluye en los documentos tipo, particularmente los del sector transporte, se establece lo siguiente: </w:t>
      </w:r>
    </w:p>
    <w:p w14:paraId="57828A92" w14:textId="77777777" w:rsidR="0039727B" w:rsidRPr="0039727B" w:rsidRDefault="0039727B" w:rsidP="0039727B">
      <w:pPr>
        <w:spacing w:after="0" w:line="276" w:lineRule="auto"/>
        <w:jc w:val="both"/>
        <w:rPr>
          <w:rFonts w:ascii="Verdana" w:eastAsia="Calibri" w:hAnsi="Verdana" w:cs="Calibri"/>
          <w:lang w:val="es-MX"/>
        </w:rPr>
      </w:pPr>
    </w:p>
    <w:p w14:paraId="460AEE30"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“[La entidad estatal deberá estructurar los formatos para la verificación de la capacidad residual utlizando los formatos y la metodología señalada en la "Guía para Determinar y Verificar la Capacidad Residual del Proponente en los Procesos de Contratación de Obra Pública" de la Agencia Nacional de Contratación Pública - Colombia Compra Eficiente]”</w:t>
      </w:r>
    </w:p>
    <w:p w14:paraId="2C60778A" w14:textId="77777777" w:rsidR="0039727B" w:rsidRPr="0039727B" w:rsidRDefault="0039727B" w:rsidP="0039727B">
      <w:pPr>
        <w:spacing w:after="0" w:line="276" w:lineRule="auto"/>
        <w:jc w:val="both"/>
        <w:rPr>
          <w:rFonts w:ascii="Verdana" w:eastAsia="Calibri" w:hAnsi="Verdana" w:cs="Calibri"/>
          <w:lang w:val="es-MX"/>
        </w:rPr>
      </w:pPr>
    </w:p>
    <w:p w14:paraId="0BD6A348" w14:textId="77777777" w:rsidR="0039727B" w:rsidRPr="0039727B" w:rsidRDefault="0039727B" w:rsidP="0039727B">
      <w:pPr>
        <w:numPr>
          <w:ilvl w:val="0"/>
          <w:numId w:val="22"/>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En consecuencia, las entidades, en los eventos en que lo requieran, podrán optar por utilizar los anexos incluidos en la Guía para el cálculo de la capacidad residual, como el caso del Anexo 1, o incluir los formatos que la entidad considere y que incluyan la información necesaria para el cálculo respectivo.</w:t>
      </w:r>
    </w:p>
    <w:p w14:paraId="4442B2D5" w14:textId="77777777" w:rsidR="0039727B" w:rsidRPr="0039727B" w:rsidRDefault="0039727B" w:rsidP="0039727B">
      <w:pPr>
        <w:spacing w:after="0" w:line="276" w:lineRule="auto"/>
        <w:jc w:val="both"/>
        <w:rPr>
          <w:rFonts w:ascii="Verdana" w:eastAsia="Calibri" w:hAnsi="Verdana" w:cs="Calibri"/>
          <w:lang w:val="es-MX"/>
        </w:rPr>
      </w:pPr>
    </w:p>
    <w:p w14:paraId="4DD37FA0" w14:textId="77777777" w:rsidR="0039727B" w:rsidRPr="0039727B" w:rsidRDefault="0039727B" w:rsidP="0039727B">
      <w:pPr>
        <w:numPr>
          <w:ilvl w:val="0"/>
          <w:numId w:val="22"/>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Adicionalmente, la Guía de Capacidad Residual establece:</w:t>
      </w:r>
    </w:p>
    <w:p w14:paraId="45D40CB1" w14:textId="77777777" w:rsidR="0039727B" w:rsidRPr="0039727B" w:rsidRDefault="0039727B" w:rsidP="0039727B">
      <w:pPr>
        <w:spacing w:after="0" w:line="276" w:lineRule="auto"/>
        <w:jc w:val="both"/>
        <w:rPr>
          <w:rFonts w:ascii="Verdana" w:eastAsia="Calibri" w:hAnsi="Verdana" w:cs="Calibri"/>
          <w:lang w:val="es-MX"/>
        </w:rPr>
      </w:pPr>
    </w:p>
    <w:p w14:paraId="72F7CDE5"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“Para acreditar el factor de Experiencia (E), el proponente debe diligenciar su información en el formato establecido por la Entidad Estatal para tal fin. No obstante, en el Anexo 1 de esta guía se sugiere un modelo para ser tenido en cuenta. Dicho Anexo contiene los contratos inscritos en el segmento 72 y su valor total en pesos colombianos liquidados con el SMMLV. Asimismo, el presupuesto oficial estimado debe liquidarse con el SMMLV para el año de publicación del pliego de condiciones definitivo del Proceso de Contratación.”</w:t>
      </w:r>
    </w:p>
    <w:p w14:paraId="27A2C41A" w14:textId="77777777" w:rsidR="0039727B" w:rsidRPr="0039727B" w:rsidRDefault="0039727B" w:rsidP="0039727B">
      <w:pPr>
        <w:spacing w:after="0" w:line="276" w:lineRule="auto"/>
        <w:ind w:left="720"/>
        <w:contextualSpacing/>
        <w:jc w:val="both"/>
        <w:rPr>
          <w:rFonts w:ascii="Verdana" w:eastAsia="Calibri" w:hAnsi="Verdana" w:cs="Calibri"/>
          <w:lang w:val="es-MX"/>
        </w:rPr>
      </w:pPr>
    </w:p>
    <w:p w14:paraId="2A49E14E" w14:textId="77777777" w:rsidR="0039727B" w:rsidRPr="0039727B" w:rsidRDefault="0039727B" w:rsidP="0039727B">
      <w:pPr>
        <w:numPr>
          <w:ilvl w:val="0"/>
          <w:numId w:val="23"/>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lastRenderedPageBreak/>
        <w:t xml:space="preserve">Como ya se indicó, el Anexo 1 es una sugerencia que se brinda en la Guía, para efectos de incluir la experiencia de los proponentes en el cálculo de la capacidad residual. Esto significa que las entidades podrán optar o no por los formatos incluidos en la Guía. </w:t>
      </w:r>
    </w:p>
    <w:p w14:paraId="6F55283A" w14:textId="77777777" w:rsidR="0039727B" w:rsidRPr="0039727B" w:rsidRDefault="0039727B" w:rsidP="0039727B">
      <w:pPr>
        <w:spacing w:after="0" w:line="276" w:lineRule="auto"/>
        <w:jc w:val="both"/>
        <w:rPr>
          <w:rFonts w:ascii="Verdana" w:eastAsia="Calibri" w:hAnsi="Verdana" w:cs="Calibri"/>
          <w:lang w:val="es-MX" w:eastAsia="es-ES_tradnl"/>
        </w:rPr>
      </w:pPr>
    </w:p>
    <w:p w14:paraId="30F5306F" w14:textId="77777777" w:rsidR="0039727B" w:rsidRPr="0039727B" w:rsidRDefault="0039727B" w:rsidP="0039727B">
      <w:pPr>
        <w:numPr>
          <w:ilvl w:val="0"/>
          <w:numId w:val="23"/>
        </w:numPr>
        <w:spacing w:after="0" w:line="276" w:lineRule="auto"/>
        <w:contextualSpacing/>
        <w:jc w:val="both"/>
        <w:rPr>
          <w:rFonts w:ascii="Verdana" w:eastAsia="Calibri" w:hAnsi="Verdana" w:cs="Calibri"/>
          <w:bCs/>
          <w:lang w:val="es-MX"/>
        </w:rPr>
      </w:pPr>
      <w:r w:rsidRPr="0039727B">
        <w:rPr>
          <w:rFonts w:ascii="Verdana" w:eastAsia="Times New Roman" w:hAnsi="Verdana" w:cs="Calibri"/>
          <w:lang w:val="es-MX" w:eastAsia="es-ES_tradnl"/>
        </w:rPr>
        <w:t>Finalmente, d</w:t>
      </w:r>
      <w:r w:rsidRPr="0039727B">
        <w:rPr>
          <w:rFonts w:ascii="Verdana" w:eastAsia="Calibri" w:hAnsi="Verdana" w:cs="Calibri"/>
          <w:lang w:val="es-MX"/>
        </w:rPr>
        <w:t xml:space="preserve">e acuerdo con lo consignado en el numeral </w:t>
      </w:r>
      <w:bookmarkStart w:id="5" w:name="_Toc107994784"/>
      <w:r w:rsidRPr="0039727B">
        <w:rPr>
          <w:rFonts w:ascii="Verdana" w:eastAsia="Calibri" w:hAnsi="Verdana" w:cs="Calibri"/>
          <w:lang w:val="es-MX"/>
        </w:rPr>
        <w:t xml:space="preserve">1.6. </w:t>
      </w:r>
      <w:r w:rsidRPr="0039727B">
        <w:rPr>
          <w:rFonts w:ascii="Verdana" w:eastAsia="Calibri" w:hAnsi="Verdana" w:cs="Calibri"/>
          <w:bCs/>
          <w:lang w:val="es-MX"/>
        </w:rPr>
        <w:t>REGLAS DE SUBSANABILIDAD, EXPLICACIONES Y ACLARACIONES</w:t>
      </w:r>
      <w:bookmarkEnd w:id="5"/>
      <w:r w:rsidRPr="0039727B">
        <w:rPr>
          <w:rFonts w:ascii="Verdana" w:eastAsia="Calibri" w:hAnsi="Verdana" w:cs="Calibri"/>
          <w:bCs/>
          <w:lang w:val="es-MX"/>
        </w:rPr>
        <w:t>:</w:t>
      </w:r>
    </w:p>
    <w:p w14:paraId="494FD370" w14:textId="77777777" w:rsidR="0039727B" w:rsidRPr="0039727B" w:rsidRDefault="0039727B" w:rsidP="0039727B">
      <w:pPr>
        <w:spacing w:after="0" w:line="276" w:lineRule="auto"/>
        <w:ind w:left="720"/>
        <w:contextualSpacing/>
        <w:jc w:val="both"/>
        <w:rPr>
          <w:rFonts w:ascii="Verdana" w:eastAsia="Calibri" w:hAnsi="Verdana" w:cs="Calibri"/>
          <w:b/>
          <w:lang w:val="es-MX"/>
        </w:rPr>
      </w:pPr>
    </w:p>
    <w:p w14:paraId="166F439C"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w:t>
      </w:r>
    </w:p>
    <w:p w14:paraId="45817BEE"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 xml:space="preserve">En caso de ser necesario, la entidad debe solicitar a los proponentes durante el proceso de evaluación, y a más tardar en el informe de evaluación, las aclaraciones, precisiones o solicitud </w:t>
      </w:r>
      <w:r w:rsidRPr="0039727B">
        <w:rPr>
          <w:rFonts w:ascii="Verdana" w:eastAsia="Calibri" w:hAnsi="Verdana" w:cs="Calibri"/>
          <w:sz w:val="21"/>
          <w:szCs w:val="21"/>
          <w:u w:val="single"/>
          <w:lang w:val="es-MX"/>
        </w:rPr>
        <w:t>de documentos que puedan ser subsanables</w:t>
      </w:r>
      <w:r w:rsidRPr="0039727B">
        <w:rPr>
          <w:rFonts w:ascii="Verdana" w:eastAsia="Calibri" w:hAnsi="Verdana" w:cs="Calibri"/>
          <w:sz w:val="21"/>
          <w:szCs w:val="21"/>
          <w:lang w:val="es-MX"/>
        </w:rPr>
        <w:t>.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(Subrayado fuera de texto).</w:t>
      </w:r>
    </w:p>
    <w:p w14:paraId="137C4583"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w:t>
      </w:r>
    </w:p>
    <w:p w14:paraId="21836338" w14:textId="77777777" w:rsidR="0039727B" w:rsidRPr="0039727B" w:rsidRDefault="0039727B" w:rsidP="0039727B">
      <w:pPr>
        <w:spacing w:after="0" w:line="240" w:lineRule="auto"/>
        <w:ind w:left="709" w:right="709"/>
        <w:jc w:val="both"/>
        <w:rPr>
          <w:rFonts w:ascii="Verdana" w:eastAsia="Calibri" w:hAnsi="Verdana" w:cs="Calibri"/>
          <w:sz w:val="21"/>
          <w:szCs w:val="21"/>
          <w:lang w:val="es-MX"/>
        </w:rPr>
      </w:pPr>
      <w:r w:rsidRPr="0039727B">
        <w:rPr>
          <w:rFonts w:ascii="Verdana" w:eastAsia="Calibri" w:hAnsi="Verdana" w:cs="Calibri"/>
          <w:sz w:val="21"/>
          <w:szCs w:val="21"/>
          <w:lang w:val="es-MX"/>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488230C3" w14:textId="77777777" w:rsidR="0039727B" w:rsidRPr="0039727B" w:rsidRDefault="0039727B" w:rsidP="0039727B">
      <w:pPr>
        <w:spacing w:after="0" w:line="276" w:lineRule="auto"/>
        <w:ind w:left="720"/>
        <w:contextualSpacing/>
        <w:jc w:val="both"/>
        <w:rPr>
          <w:rFonts w:ascii="Verdana" w:eastAsia="Calibri" w:hAnsi="Verdana" w:cs="Calibri"/>
          <w:lang w:val="es-MX"/>
        </w:rPr>
      </w:pPr>
    </w:p>
    <w:p w14:paraId="45958560" w14:textId="77777777" w:rsidR="0039727B" w:rsidRPr="0039727B" w:rsidRDefault="0039727B" w:rsidP="0039727B">
      <w:pPr>
        <w:numPr>
          <w:ilvl w:val="0"/>
          <w:numId w:val="24"/>
        </w:numPr>
        <w:spacing w:after="0" w:line="276" w:lineRule="auto"/>
        <w:contextualSpacing/>
        <w:jc w:val="both"/>
        <w:rPr>
          <w:rFonts w:ascii="Verdana" w:eastAsia="Calibri" w:hAnsi="Verdana" w:cs="Calibri"/>
          <w:lang w:val="es-MX"/>
        </w:rPr>
      </w:pPr>
      <w:r w:rsidRPr="0039727B">
        <w:rPr>
          <w:rFonts w:ascii="Verdana" w:eastAsia="Calibri" w:hAnsi="Verdana" w:cs="Calibri"/>
          <w:lang w:val="es-MX"/>
        </w:rPr>
        <w:t xml:space="preserve">En tal sentido, las entidades podrán solicitar aclaraciones respecto de la información contenida en el Anexo 1 y la consignada en el RUP. Sin embargo, si los proponentes no presentan las aclaraciones respectivas, según lo consignado en el numeral </w:t>
      </w:r>
      <w:bookmarkStart w:id="6" w:name="_Toc107994793"/>
      <w:r w:rsidRPr="0039727B">
        <w:rPr>
          <w:rFonts w:ascii="Verdana" w:eastAsia="Calibri" w:hAnsi="Verdana" w:cs="Calibri"/>
          <w:lang w:val="es-MX"/>
        </w:rPr>
        <w:t>1.15 CAUSALES DE RECHAZ</w:t>
      </w:r>
      <w:bookmarkEnd w:id="6"/>
      <w:r w:rsidRPr="0039727B">
        <w:rPr>
          <w:rFonts w:ascii="Verdana" w:eastAsia="Calibri" w:hAnsi="Verdana" w:cs="Calibri"/>
          <w:lang w:val="es-MX"/>
        </w:rPr>
        <w:t>O del Documento Base, se establece en sus literales E y Z, como causales de rechazo de las ofertas, que:</w:t>
      </w:r>
    </w:p>
    <w:p w14:paraId="142A9A3B" w14:textId="77777777" w:rsidR="0039727B" w:rsidRPr="0039727B" w:rsidRDefault="0039727B" w:rsidP="0039727B">
      <w:pPr>
        <w:spacing w:after="0" w:line="276" w:lineRule="auto"/>
        <w:ind w:left="720"/>
        <w:contextualSpacing/>
        <w:jc w:val="both"/>
        <w:rPr>
          <w:rFonts w:ascii="Verdana" w:eastAsia="Calibri" w:hAnsi="Verdana" w:cs="Calibri"/>
          <w:lang w:val="es-MX"/>
        </w:rPr>
      </w:pPr>
    </w:p>
    <w:p w14:paraId="416B818E" w14:textId="51239462" w:rsidR="0039727B" w:rsidRPr="0039727B" w:rsidRDefault="0039727B" w:rsidP="0039727B">
      <w:pPr>
        <w:spacing w:after="0" w:line="240" w:lineRule="auto"/>
        <w:ind w:left="709" w:right="709"/>
        <w:jc w:val="both"/>
        <w:rPr>
          <w:rFonts w:ascii="Verdana" w:eastAsia="Calibri" w:hAnsi="Verdana" w:cs="Calibri"/>
          <w:bCs/>
          <w:sz w:val="21"/>
          <w:szCs w:val="21"/>
          <w:lang w:val="es-MX"/>
        </w:rPr>
      </w:pPr>
      <w:r w:rsidRPr="0039727B">
        <w:rPr>
          <w:rFonts w:ascii="Verdana" w:eastAsia="Calibri" w:hAnsi="Verdana" w:cs="Calibri"/>
          <w:bCs/>
          <w:sz w:val="21"/>
          <w:szCs w:val="21"/>
          <w:lang w:val="es-MX"/>
        </w:rPr>
        <w:t>“E. Que el proponente no aclare, subsane o aporte documentos necesarios para cumplir un requisito habilitante o aportándolos no lo haga de forma correcta, en los términos establecidos en la sección 1.6.</w:t>
      </w:r>
    </w:p>
    <w:p w14:paraId="5456004C" w14:textId="77777777" w:rsidR="0039727B" w:rsidRPr="0039727B" w:rsidRDefault="0039727B" w:rsidP="0039727B">
      <w:pPr>
        <w:spacing w:after="0" w:line="240" w:lineRule="auto"/>
        <w:ind w:left="709" w:right="709"/>
        <w:jc w:val="both"/>
        <w:rPr>
          <w:rFonts w:ascii="Verdana" w:eastAsia="Calibri" w:hAnsi="Verdana" w:cs="Calibri"/>
          <w:bCs/>
          <w:sz w:val="21"/>
          <w:szCs w:val="21"/>
          <w:lang w:val="es-MX"/>
        </w:rPr>
      </w:pPr>
      <w:r w:rsidRPr="0039727B">
        <w:rPr>
          <w:rFonts w:ascii="Verdana" w:eastAsia="Calibri" w:hAnsi="Verdana" w:cs="Calibri"/>
          <w:bCs/>
          <w:sz w:val="21"/>
          <w:szCs w:val="21"/>
          <w:lang w:val="es-MX"/>
        </w:rPr>
        <w:t>[…]</w:t>
      </w:r>
    </w:p>
    <w:p w14:paraId="02564A0A" w14:textId="5D005109" w:rsidR="0039727B" w:rsidRPr="0039727B" w:rsidRDefault="0039727B" w:rsidP="0039727B">
      <w:pPr>
        <w:spacing w:after="0" w:line="240" w:lineRule="auto"/>
        <w:ind w:left="709" w:right="709"/>
        <w:jc w:val="both"/>
        <w:rPr>
          <w:rFonts w:ascii="Verdana" w:eastAsia="Calibri" w:hAnsi="Verdana" w:cs="Calibri"/>
          <w:bCs/>
          <w:sz w:val="21"/>
          <w:szCs w:val="21"/>
          <w:lang w:val="es-MX"/>
        </w:rPr>
      </w:pPr>
      <w:r w:rsidRPr="0039727B">
        <w:rPr>
          <w:rFonts w:ascii="Verdana" w:eastAsia="Calibri" w:hAnsi="Verdana" w:cs="Calibri"/>
          <w:bCs/>
          <w:sz w:val="21"/>
          <w:szCs w:val="21"/>
          <w:lang w:val="es-MX"/>
        </w:rPr>
        <w:t>Z. No informar todos los contratos que el proponente tenga en ejecución antes del cierre, necesarios para acreditar su capacidad residual conforme a la sección 3.10.”</w:t>
      </w:r>
    </w:p>
    <w:p w14:paraId="436320B9" w14:textId="77777777" w:rsidR="0039727B" w:rsidRPr="0039727B" w:rsidRDefault="0039727B" w:rsidP="0039727B">
      <w:pPr>
        <w:spacing w:after="0" w:line="276" w:lineRule="auto"/>
        <w:contextualSpacing/>
        <w:jc w:val="both"/>
        <w:rPr>
          <w:rFonts w:ascii="Verdana" w:eastAsia="Calibri" w:hAnsi="Verdana" w:cs="Arial"/>
          <w:b/>
          <w:kern w:val="2"/>
          <w:lang w:val="es-ES_tradnl" w:eastAsia="es-CO"/>
          <w14:ligatures w14:val="standardContextual"/>
        </w:rPr>
      </w:pPr>
    </w:p>
    <w:p w14:paraId="4CEB30CD" w14:textId="77777777" w:rsidR="0039727B" w:rsidRPr="0039727B" w:rsidRDefault="0039727B" w:rsidP="0039727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9727B">
        <w:rPr>
          <w:rFonts w:ascii="Verdana" w:eastAsia="Century Gothic" w:hAnsi="Verdana" w:cs="Century Gothic"/>
          <w:b/>
          <w:bCs/>
          <w:lang w:val="es-ES"/>
        </w:rPr>
        <w:lastRenderedPageBreak/>
        <w:t>Referencias normativas, jurisprudenciales y otras fuentes:</w:t>
      </w:r>
    </w:p>
    <w:p w14:paraId="75BBFFE9"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9727B" w:rsidRPr="0039727B" w14:paraId="4A4D1C77" w14:textId="77777777" w:rsidTr="00615578">
        <w:trPr>
          <w:trHeight w:val="870"/>
        </w:trPr>
        <w:tc>
          <w:tcPr>
            <w:tcW w:w="8647" w:type="dxa"/>
          </w:tcPr>
          <w:p w14:paraId="48558CDF" w14:textId="77777777" w:rsidR="0039727B" w:rsidRPr="0039727B" w:rsidRDefault="0039727B" w:rsidP="0039727B">
            <w:pPr>
              <w:widowControl w:val="0"/>
              <w:numPr>
                <w:ilvl w:val="0"/>
                <w:numId w:val="17"/>
              </w:numPr>
              <w:autoSpaceDE w:val="0"/>
              <w:autoSpaceDN w:val="0"/>
              <w:spacing w:after="120" w:line="276" w:lineRule="auto"/>
              <w:jc w:val="both"/>
              <w:rPr>
                <w:rFonts w:ascii="Verdana" w:eastAsia="Calibri" w:hAnsi="Verdana" w:cs="Arial"/>
              </w:rPr>
            </w:pPr>
            <w:r w:rsidRPr="0039727B">
              <w:rPr>
                <w:rFonts w:ascii="Verdana" w:eastAsia="Calibri" w:hAnsi="Verdana" w:cs="Arial"/>
              </w:rPr>
              <w:t>Ley 2022 de 2020, artículo 1.</w:t>
            </w:r>
          </w:p>
          <w:p w14:paraId="150A3157" w14:textId="77777777" w:rsidR="0039727B" w:rsidRPr="0039727B" w:rsidRDefault="0039727B" w:rsidP="0039727B">
            <w:pPr>
              <w:widowControl w:val="0"/>
              <w:numPr>
                <w:ilvl w:val="0"/>
                <w:numId w:val="17"/>
              </w:numPr>
              <w:autoSpaceDE w:val="0"/>
              <w:autoSpaceDN w:val="0"/>
              <w:spacing w:after="120" w:line="276" w:lineRule="auto"/>
              <w:jc w:val="both"/>
              <w:rPr>
                <w:rFonts w:ascii="Verdana" w:eastAsia="Calibri" w:hAnsi="Verdana" w:cs="Arial"/>
              </w:rPr>
            </w:pPr>
            <w:r w:rsidRPr="0039727B">
              <w:rPr>
                <w:rFonts w:ascii="Verdana" w:eastAsia="Aptos" w:hAnsi="Verdana" w:cs="Arial"/>
                <w:color w:val="000000"/>
                <w:lang w:val="es-ES_tradnl"/>
              </w:rPr>
              <w:t>Ley 1150 de 2007, artículo 5.</w:t>
            </w:r>
          </w:p>
          <w:p w14:paraId="4313806A" w14:textId="77777777" w:rsidR="0039727B" w:rsidRPr="0039727B" w:rsidRDefault="0039727B" w:rsidP="0039727B">
            <w:pPr>
              <w:widowControl w:val="0"/>
              <w:numPr>
                <w:ilvl w:val="0"/>
                <w:numId w:val="17"/>
              </w:numPr>
              <w:autoSpaceDE w:val="0"/>
              <w:autoSpaceDN w:val="0"/>
              <w:spacing w:after="120" w:line="276" w:lineRule="auto"/>
              <w:jc w:val="both"/>
              <w:rPr>
                <w:rFonts w:ascii="Verdana" w:eastAsia="Calibri" w:hAnsi="Verdana" w:cs="Arial"/>
              </w:rPr>
            </w:pPr>
            <w:r w:rsidRPr="0039727B">
              <w:rPr>
                <w:rFonts w:ascii="Verdana" w:eastAsia="Calibri" w:hAnsi="Verdana" w:cs="Arial"/>
              </w:rPr>
              <w:t>Documentos tipo de licitación de obra pública de infraestructura de transporte –versión 3–. Resolución 240 de 2020 de la Agencia Nacional de Contratación Pública – Colombia Compra Eficiente. Disponible en:</w:t>
            </w:r>
            <w:r w:rsidRPr="0039727B">
              <w:rPr>
                <w:rFonts w:ascii="Aptos" w:eastAsia="Aptos" w:hAnsi="Aptos" w:cs="Times New Roman"/>
                <w:lang w:val="es-ES_tradnl"/>
              </w:rPr>
              <w:t xml:space="preserve"> </w:t>
            </w:r>
            <w:hyperlink r:id="rId13" w:history="1">
              <w:r w:rsidRPr="0039727B">
                <w:rPr>
                  <w:rFonts w:ascii="Verdana" w:eastAsia="Calibri" w:hAnsi="Verdana" w:cs="Arial"/>
                  <w:color w:val="0000FF"/>
                  <w:u w:val="single"/>
                </w:rPr>
                <w:t>https://www.colombiacompra.gov.co/content/04-documentos-tipo-para-licitacion-de-obra-publica-de-infraestructura-de-transporte-version</w:t>
              </w:r>
            </w:hyperlink>
            <w:r w:rsidRPr="0039727B">
              <w:rPr>
                <w:rFonts w:ascii="Verdana" w:eastAsia="Calibri" w:hAnsi="Verdana" w:cs="Arial"/>
              </w:rPr>
              <w:t xml:space="preserve"> </w:t>
            </w:r>
          </w:p>
          <w:p w14:paraId="5E3249FB" w14:textId="77777777" w:rsidR="0039727B" w:rsidRPr="0039727B" w:rsidRDefault="0039727B" w:rsidP="0039727B">
            <w:pPr>
              <w:widowControl w:val="0"/>
              <w:numPr>
                <w:ilvl w:val="0"/>
                <w:numId w:val="17"/>
              </w:numPr>
              <w:autoSpaceDE w:val="0"/>
              <w:autoSpaceDN w:val="0"/>
              <w:spacing w:after="120" w:line="276" w:lineRule="auto"/>
              <w:jc w:val="both"/>
              <w:rPr>
                <w:rFonts w:ascii="Verdana" w:eastAsia="Calibri" w:hAnsi="Verdana" w:cs="Arial"/>
              </w:rPr>
            </w:pPr>
            <w:r w:rsidRPr="0039727B">
              <w:rPr>
                <w:rFonts w:ascii="Verdana" w:eastAsia="Century Gothic" w:hAnsi="Verdana" w:cs="Century Gothic"/>
              </w:rPr>
              <w:t xml:space="preserve">Guía para Determinar y Verificar la Capacidad Residual del Proponente en los Procesos de Contratación de Obra Pública. Disponible en: </w:t>
            </w:r>
            <w:hyperlink r:id="rId14" w:history="1">
              <w:r w:rsidRPr="0039727B">
                <w:rPr>
                  <w:rFonts w:ascii="Verdana" w:eastAsia="Century Gothic" w:hAnsi="Verdana" w:cs="Century Gothic"/>
                  <w:color w:val="467886"/>
                  <w:u w:val="single"/>
                </w:rPr>
                <w:t>https://www.colombiacompra.gov.co/manuales-guias-y-pliegos-tipo/manuales-y-guias</w:t>
              </w:r>
            </w:hyperlink>
            <w:r w:rsidRPr="0039727B">
              <w:rPr>
                <w:rFonts w:ascii="Verdana" w:eastAsia="Century Gothic" w:hAnsi="Verdana" w:cs="Century Gothic"/>
              </w:rPr>
              <w:t xml:space="preserve"> </w:t>
            </w:r>
          </w:p>
        </w:tc>
      </w:tr>
    </w:tbl>
    <w:p w14:paraId="0B49EBDB"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p w14:paraId="2DE9F63E" w14:textId="77777777" w:rsidR="0039727B" w:rsidRPr="0039727B" w:rsidRDefault="0039727B" w:rsidP="0039727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9727B">
        <w:rPr>
          <w:rFonts w:ascii="Verdana" w:eastAsia="Century Gothic" w:hAnsi="Verdana" w:cs="Century Gothic"/>
          <w:b/>
          <w:bCs/>
          <w:lang w:val="es-ES"/>
        </w:rPr>
        <w:t>Doctrina de la Agencia Nacional de Contratación Pública:</w:t>
      </w:r>
    </w:p>
    <w:p w14:paraId="03987F85"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p w14:paraId="0C60C060" w14:textId="77777777" w:rsidR="0039727B" w:rsidRPr="0039727B" w:rsidRDefault="0039727B" w:rsidP="0039727B">
      <w:pPr>
        <w:widowControl w:val="0"/>
        <w:autoSpaceDE w:val="0"/>
        <w:autoSpaceDN w:val="0"/>
        <w:spacing w:after="0" w:line="276" w:lineRule="auto"/>
        <w:jc w:val="both"/>
        <w:rPr>
          <w:rFonts w:ascii="Verdana" w:eastAsia="Calibri" w:hAnsi="Verdana" w:cs="Arial"/>
          <w:shd w:val="clear" w:color="auto" w:fill="FFFFFF"/>
          <w:lang w:val="es-ES"/>
        </w:rPr>
      </w:pPr>
      <w:r w:rsidRPr="0039727B">
        <w:rPr>
          <w:rFonts w:ascii="Verdana" w:eastAsia="Calibri" w:hAnsi="Verdana" w:cs="Arial"/>
          <w:shd w:val="clear" w:color="auto" w:fill="FFFFFF"/>
          <w:lang w:val="es-ES"/>
        </w:rPr>
        <w:t>La Agencia Nacional de Contratación Pública − Colombia Compra Eficiente se pronunció sobre las causales de rechazo incorporadas en los pliegos de condiciones, en los conceptos 2201913000007117 del 25 de septiembre de 2019, 2201913000009538 del 23 de diciembre de 2019, C- 716 del 30 de octubre de 2020, C-096 del 24 de marzo de 2021, C-056 del 20 de abril de 2021, C-078 del 15 de marzo de 2022, C-321 del 17 de mayo de 2022, C-113 del 22 de marzo de 2022, C-178, C-186 del 12 de abril de 2022, C-406 del 2 de octubre de 2023, entre otros. Es</w:t>
      </w:r>
      <w:r w:rsidRPr="0039727B">
        <w:rPr>
          <w:rFonts w:ascii="Verdana" w:eastAsia="Calibri" w:hAnsi="Verdana" w:cs="Times New Roman"/>
        </w:rPr>
        <w:t>tos y otros conceptos se encuentran disponibles para consulta en el sistema de relatoría de la Agencia, al cual se puede acceder a través del siguiente enlace:</w:t>
      </w:r>
      <w:r w:rsidRPr="0039727B">
        <w:rPr>
          <w:rFonts w:ascii="Verdana" w:eastAsia="Calibri" w:hAnsi="Verdana" w:cs="Arial"/>
          <w:shd w:val="clear" w:color="auto" w:fill="FFFFFF"/>
          <w:lang w:val="es-ES"/>
        </w:rPr>
        <w:t xml:space="preserve"> </w:t>
      </w:r>
      <w:hyperlink r:id="rId15" w:history="1">
        <w:r w:rsidRPr="0039727B">
          <w:rPr>
            <w:rFonts w:ascii="Verdana" w:eastAsia="Calibri" w:hAnsi="Verdana" w:cs="Arial"/>
            <w:u w:val="single"/>
            <w:shd w:val="clear" w:color="auto" w:fill="FFFFFF"/>
            <w:lang w:val="es-ES"/>
          </w:rPr>
          <w:t>https://relatoria.colombiacompra.gov.co/busqueda/conceptos</w:t>
        </w:r>
      </w:hyperlink>
      <w:r w:rsidRPr="0039727B">
        <w:rPr>
          <w:rFonts w:ascii="Verdana" w:eastAsia="Calibri" w:hAnsi="Verdana" w:cs="Arial"/>
          <w:shd w:val="clear" w:color="auto" w:fill="FFFFFF"/>
          <w:lang w:val="es-ES"/>
        </w:rPr>
        <w:t xml:space="preserve">. </w:t>
      </w:r>
    </w:p>
    <w:p w14:paraId="76C0D90C" w14:textId="77777777" w:rsidR="0039727B" w:rsidRPr="0039727B" w:rsidRDefault="0039727B" w:rsidP="0039727B">
      <w:pPr>
        <w:widowControl w:val="0"/>
        <w:autoSpaceDE w:val="0"/>
        <w:autoSpaceDN w:val="0"/>
        <w:spacing w:after="0" w:line="276" w:lineRule="auto"/>
        <w:jc w:val="both"/>
        <w:rPr>
          <w:rFonts w:ascii="Verdana" w:eastAsia="Calibri" w:hAnsi="Verdana" w:cs="Arial"/>
          <w:shd w:val="clear" w:color="auto" w:fill="FFFFFF"/>
          <w:lang w:val="es-ES"/>
        </w:rPr>
      </w:pPr>
    </w:p>
    <w:p w14:paraId="5F5387B6" w14:textId="77777777" w:rsidR="0039727B" w:rsidRPr="0039727B" w:rsidRDefault="0039727B" w:rsidP="0039727B">
      <w:pPr>
        <w:widowControl w:val="0"/>
        <w:autoSpaceDE w:val="0"/>
        <w:autoSpaceDN w:val="0"/>
        <w:spacing w:after="0" w:line="276" w:lineRule="auto"/>
        <w:jc w:val="both"/>
        <w:rPr>
          <w:rFonts w:ascii="Verdana" w:eastAsia="Calibri" w:hAnsi="Verdana" w:cs="Arial"/>
          <w:shd w:val="clear" w:color="auto" w:fill="FFFFFF"/>
          <w:lang w:val="es-ES"/>
        </w:rPr>
      </w:pPr>
      <w:r w:rsidRPr="0039727B">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6" w:history="1">
        <w:r w:rsidRPr="0039727B">
          <w:rPr>
            <w:rFonts w:ascii="Verdana" w:eastAsia="Calibri" w:hAnsi="Verdana" w:cs="Arial"/>
            <w:u w:val="single"/>
            <w:shd w:val="clear" w:color="auto" w:fill="FFFFFF"/>
            <w:lang w:val="es-ES"/>
          </w:rPr>
          <w:t>https://www.colombiacompra.gov.co/sala-de-prensa/boletin-digital</w:t>
        </w:r>
      </w:hyperlink>
      <w:r w:rsidRPr="0039727B">
        <w:rPr>
          <w:rFonts w:ascii="Verdana" w:eastAsia="Calibri" w:hAnsi="Verdana" w:cs="Arial"/>
          <w:shd w:val="clear" w:color="auto" w:fill="FFFFFF"/>
          <w:lang w:val="es-ES"/>
        </w:rPr>
        <w:t xml:space="preserve">   </w:t>
      </w:r>
    </w:p>
    <w:p w14:paraId="228A2FC1" w14:textId="77777777" w:rsidR="0039727B" w:rsidRPr="0039727B" w:rsidRDefault="0039727B" w:rsidP="0039727B">
      <w:pPr>
        <w:widowControl w:val="0"/>
        <w:autoSpaceDE w:val="0"/>
        <w:autoSpaceDN w:val="0"/>
        <w:spacing w:after="0" w:line="276" w:lineRule="auto"/>
        <w:jc w:val="both"/>
        <w:rPr>
          <w:rFonts w:ascii="Verdana" w:eastAsia="Calibri" w:hAnsi="Verdana" w:cs="Arial"/>
          <w:shd w:val="clear" w:color="auto" w:fill="FFFFFF"/>
          <w:lang w:val="es-ES"/>
        </w:rPr>
      </w:pPr>
    </w:p>
    <w:p w14:paraId="2A56C267" w14:textId="77777777" w:rsidR="0039727B" w:rsidRPr="0039727B" w:rsidRDefault="0039727B" w:rsidP="0039727B">
      <w:pPr>
        <w:spacing w:after="0" w:line="240" w:lineRule="auto"/>
        <w:jc w:val="both"/>
        <w:rPr>
          <w:rFonts w:ascii="Verdana" w:eastAsia="Calibri" w:hAnsi="Verdana" w:cs="Times New Roman"/>
        </w:rPr>
      </w:pPr>
      <w:r w:rsidRPr="0039727B">
        <w:rPr>
          <w:rFonts w:ascii="Verdana" w:eastAsia="Calibri" w:hAnsi="Verdana" w:cs="Times New Roman"/>
        </w:rPr>
        <w:t xml:space="preserve">Por último, los invitamos a seguirnos en las redes sociales, en las cuales se difunde información institucional: </w:t>
      </w:r>
    </w:p>
    <w:p w14:paraId="5D6CA13D" w14:textId="77777777" w:rsidR="0039727B" w:rsidRPr="0039727B" w:rsidRDefault="0039727B" w:rsidP="0039727B">
      <w:pPr>
        <w:spacing w:after="0" w:line="240" w:lineRule="auto"/>
        <w:jc w:val="both"/>
        <w:rPr>
          <w:rFonts w:ascii="Verdana" w:eastAsia="Calibri" w:hAnsi="Verdana" w:cs="Times New Roman"/>
        </w:rPr>
      </w:pPr>
    </w:p>
    <w:p w14:paraId="2B72875D" w14:textId="77777777" w:rsidR="0039727B" w:rsidRPr="0039727B" w:rsidRDefault="0039727B" w:rsidP="0039727B">
      <w:pPr>
        <w:spacing w:after="0" w:line="240" w:lineRule="auto"/>
        <w:jc w:val="both"/>
        <w:rPr>
          <w:rFonts w:ascii="Verdana" w:eastAsia="Calibri" w:hAnsi="Verdana" w:cs="Times New Roman"/>
        </w:rPr>
      </w:pPr>
      <w:r w:rsidRPr="0039727B">
        <w:rPr>
          <w:rFonts w:ascii="Verdana" w:eastAsia="Calibri" w:hAnsi="Verdana" w:cs="Times New Roman"/>
        </w:rPr>
        <w:lastRenderedPageBreak/>
        <w:t xml:space="preserve">Twitter: </w:t>
      </w:r>
      <w:r w:rsidRPr="0039727B">
        <w:rPr>
          <w:rFonts w:ascii="Verdana" w:eastAsia="Calibri" w:hAnsi="Verdana" w:cs="Times New Roman"/>
          <w:u w:val="single"/>
        </w:rPr>
        <w:t>@colombiacompra</w:t>
      </w:r>
      <w:r w:rsidRPr="0039727B">
        <w:rPr>
          <w:rFonts w:ascii="Verdana" w:eastAsia="Calibri" w:hAnsi="Verdana" w:cs="Times New Roman"/>
        </w:rPr>
        <w:t xml:space="preserve"> </w:t>
      </w:r>
    </w:p>
    <w:p w14:paraId="63BFCB55" w14:textId="77777777" w:rsidR="0039727B" w:rsidRPr="0039727B" w:rsidRDefault="0039727B" w:rsidP="0039727B">
      <w:pPr>
        <w:spacing w:after="0" w:line="240" w:lineRule="auto"/>
        <w:jc w:val="both"/>
        <w:rPr>
          <w:rFonts w:ascii="Verdana" w:eastAsia="Calibri" w:hAnsi="Verdana" w:cs="Times New Roman"/>
        </w:rPr>
      </w:pPr>
      <w:r w:rsidRPr="0039727B">
        <w:rPr>
          <w:rFonts w:ascii="Verdana" w:eastAsia="Calibri" w:hAnsi="Verdana" w:cs="Times New Roman"/>
        </w:rPr>
        <w:t xml:space="preserve">Facebook: </w:t>
      </w:r>
      <w:r w:rsidRPr="0039727B">
        <w:rPr>
          <w:rFonts w:ascii="Verdana" w:eastAsia="Calibri" w:hAnsi="Verdana" w:cs="Times New Roman"/>
          <w:u w:val="single"/>
        </w:rPr>
        <w:t>ColombiaCompraEficiente</w:t>
      </w:r>
    </w:p>
    <w:p w14:paraId="4FE85FD5" w14:textId="77777777" w:rsidR="0039727B" w:rsidRPr="0039727B" w:rsidRDefault="0039727B" w:rsidP="0039727B">
      <w:pPr>
        <w:spacing w:after="0" w:line="240" w:lineRule="auto"/>
        <w:jc w:val="both"/>
        <w:rPr>
          <w:rFonts w:ascii="Verdana" w:eastAsia="Calibri" w:hAnsi="Verdana" w:cs="Times New Roman"/>
        </w:rPr>
      </w:pPr>
      <w:r w:rsidRPr="0039727B">
        <w:rPr>
          <w:rFonts w:ascii="Verdana" w:eastAsia="Calibri" w:hAnsi="Verdana" w:cs="Times New Roman"/>
        </w:rPr>
        <w:t xml:space="preserve">LinkedIn: </w:t>
      </w:r>
      <w:r w:rsidRPr="0039727B">
        <w:rPr>
          <w:rFonts w:ascii="Verdana" w:eastAsia="Calibri" w:hAnsi="Verdana" w:cs="Times New Roman"/>
          <w:u w:val="single"/>
        </w:rPr>
        <w:t>Agencia Nacional de Contratación Pública - Colombia Compra Eficiente</w:t>
      </w:r>
      <w:r w:rsidRPr="0039727B">
        <w:rPr>
          <w:rFonts w:ascii="Verdana" w:eastAsia="Calibri" w:hAnsi="Verdana" w:cs="Times New Roman"/>
        </w:rPr>
        <w:t xml:space="preserve"> Instagram: </w:t>
      </w:r>
      <w:r w:rsidRPr="0039727B">
        <w:rPr>
          <w:rFonts w:ascii="Verdana" w:eastAsia="Calibri" w:hAnsi="Verdana" w:cs="Times New Roman"/>
          <w:u w:val="single"/>
        </w:rPr>
        <w:t>@colombiacompraeficiente_cce</w:t>
      </w:r>
    </w:p>
    <w:p w14:paraId="20B1540F"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p w14:paraId="4DF28995"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r w:rsidRPr="0039727B">
        <w:rPr>
          <w:rFonts w:ascii="Verdana" w:eastAsia="Calibri" w:hAnsi="Verdana" w:cs="Arial"/>
        </w:rPr>
        <w:t xml:space="preserve">Anexo al presente concepto encontrará la respuesta emitida por parte de la Subdirección de Información y Desarrollo Tecnológico de </w:t>
      </w:r>
      <w:r w:rsidRPr="0039727B">
        <w:rPr>
          <w:rFonts w:ascii="Verdana" w:eastAsia="Calibri" w:hAnsi="Verdana" w:cs="Arial"/>
        </w:rPr>
        <w:tab/>
        <w:t>esta Agencia, que complementa las presentes consideraciones, con el fin de responder su solicitud.</w:t>
      </w:r>
    </w:p>
    <w:p w14:paraId="6C94F391"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p w14:paraId="2950E4BC" w14:textId="77777777" w:rsidR="0039727B" w:rsidRPr="0039727B" w:rsidRDefault="0039727B" w:rsidP="0039727B">
      <w:pPr>
        <w:widowControl w:val="0"/>
        <w:autoSpaceDE w:val="0"/>
        <w:autoSpaceDN w:val="0"/>
        <w:spacing w:after="0" w:line="276" w:lineRule="auto"/>
        <w:jc w:val="both"/>
        <w:rPr>
          <w:rFonts w:ascii="Verdana" w:eastAsia="Calibri" w:hAnsi="Verdana" w:cs="Arial"/>
          <w:lang w:val="es-ES_tradnl"/>
        </w:rPr>
      </w:pPr>
      <w:r w:rsidRPr="0039727B">
        <w:rPr>
          <w:rFonts w:ascii="Verdana" w:eastAsia="Calibri" w:hAnsi="Verdana" w:cs="Arial"/>
        </w:rPr>
        <w:t xml:space="preserve">Este concepto tiene el alcance previsto en el artículo 28 del Código de Procedimiento Administrativo y de lo Contencioso Administrativo </w:t>
      </w:r>
      <w:r w:rsidRPr="0039727B">
        <w:rPr>
          <w:rFonts w:ascii="Verdana" w:eastAsia="Calibri" w:hAnsi="Verdana" w:cs="Arial"/>
          <w:lang w:val="es-ES_tradnl"/>
        </w:rPr>
        <w:t>y las expresiones aquí utilizadas con mayúscula inicial deben ser entendidas con el significado que les otorga el artículo 2.2.1.1.1.3.1. del Decreto 1082 de 2015.</w:t>
      </w:r>
    </w:p>
    <w:p w14:paraId="1F63B8DF" w14:textId="77777777" w:rsidR="0039727B" w:rsidRPr="0039727B" w:rsidRDefault="0039727B" w:rsidP="0039727B">
      <w:pPr>
        <w:widowControl w:val="0"/>
        <w:autoSpaceDE w:val="0"/>
        <w:autoSpaceDN w:val="0"/>
        <w:spacing w:after="0" w:line="276" w:lineRule="auto"/>
        <w:jc w:val="both"/>
        <w:rPr>
          <w:rFonts w:ascii="Verdana" w:eastAsia="Calibri" w:hAnsi="Verdana" w:cs="Arial"/>
        </w:rPr>
      </w:pPr>
    </w:p>
    <w:p w14:paraId="4FB7FBCF" w14:textId="77777777" w:rsidR="0039727B" w:rsidRPr="0039727B" w:rsidRDefault="0039727B" w:rsidP="0039727B">
      <w:pPr>
        <w:spacing w:after="0" w:line="240" w:lineRule="auto"/>
        <w:rPr>
          <w:rFonts w:ascii="Verdana" w:eastAsia="Calibri" w:hAnsi="Verdana" w:cs="Arial"/>
          <w:lang w:eastAsia="es-CO"/>
        </w:rPr>
      </w:pPr>
      <w:r w:rsidRPr="0039727B">
        <w:rPr>
          <w:rFonts w:ascii="Verdana" w:eastAsia="Times New Roman" w:hAnsi="Verdana" w:cs="Arial"/>
          <w:lang w:eastAsia="es-CO"/>
        </w:rPr>
        <w:t>Atentamente,</w:t>
      </w:r>
      <w:r w:rsidRPr="0039727B">
        <w:rPr>
          <w:rFonts w:ascii="Verdana" w:eastAsia="Calibri" w:hAnsi="Verdana" w:cs="Arial"/>
          <w:lang w:eastAsia="es-CO"/>
        </w:rPr>
        <w:t xml:space="preserve"> </w:t>
      </w:r>
    </w:p>
    <w:p w14:paraId="604401E6" w14:textId="5F0D4717" w:rsidR="0039727B" w:rsidRPr="0039727B" w:rsidRDefault="001353FF" w:rsidP="0039727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1B6D2C2D" wp14:editId="464486A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9727B" w:rsidRPr="0039727B" w14:paraId="3DF0EE33" w14:textId="77777777" w:rsidTr="00615578">
        <w:trPr>
          <w:trHeight w:val="315"/>
        </w:trPr>
        <w:tc>
          <w:tcPr>
            <w:tcW w:w="893" w:type="dxa"/>
            <w:vAlign w:val="center"/>
            <w:hideMark/>
          </w:tcPr>
          <w:p w14:paraId="2C09BC42" w14:textId="77777777" w:rsidR="0039727B" w:rsidRPr="0039727B" w:rsidRDefault="0039727B" w:rsidP="0039727B">
            <w:pPr>
              <w:rPr>
                <w:rFonts w:ascii="Verdana" w:eastAsia="Calibri" w:hAnsi="Verdana" w:cs="Arial"/>
                <w:sz w:val="16"/>
                <w:szCs w:val="16"/>
                <w:lang w:val="es-ES" w:eastAsia="es-ES"/>
              </w:rPr>
            </w:pPr>
            <w:r w:rsidRPr="0039727B">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C87F271" w14:textId="77777777" w:rsidR="0039727B" w:rsidRPr="0039727B" w:rsidRDefault="0039727B" w:rsidP="0039727B">
            <w:pPr>
              <w:rPr>
                <w:rFonts w:ascii="Verdana" w:eastAsia="Arial" w:hAnsi="Verdana" w:cs="Arial"/>
                <w:sz w:val="16"/>
                <w:szCs w:val="16"/>
              </w:rPr>
            </w:pPr>
            <w:r w:rsidRPr="0039727B">
              <w:rPr>
                <w:rFonts w:ascii="Verdana" w:eastAsia="Arial" w:hAnsi="Verdana" w:cs="Arial"/>
                <w:sz w:val="16"/>
                <w:szCs w:val="16"/>
              </w:rPr>
              <w:t>Kevin Arlid Herrera Santa</w:t>
            </w:r>
          </w:p>
          <w:p w14:paraId="566C90F2" w14:textId="77777777" w:rsidR="0039727B" w:rsidRPr="0039727B" w:rsidRDefault="0039727B" w:rsidP="0039727B">
            <w:pPr>
              <w:rPr>
                <w:rFonts w:ascii="Verdana" w:eastAsia="Arial" w:hAnsi="Verdana" w:cs="Arial"/>
                <w:sz w:val="16"/>
                <w:szCs w:val="16"/>
              </w:rPr>
            </w:pPr>
            <w:r w:rsidRPr="0039727B">
              <w:rPr>
                <w:rFonts w:ascii="Verdana" w:eastAsia="Arial" w:hAnsi="Verdana" w:cs="Arial"/>
                <w:sz w:val="16"/>
                <w:szCs w:val="16"/>
              </w:rPr>
              <w:t>Contratista de la Subdirección de Gestión Contractual</w:t>
            </w:r>
          </w:p>
          <w:p w14:paraId="1E018116" w14:textId="77777777" w:rsidR="0039727B" w:rsidRPr="0039727B" w:rsidRDefault="0039727B" w:rsidP="0039727B">
            <w:pPr>
              <w:rPr>
                <w:rFonts w:ascii="Verdana" w:eastAsia="Arial" w:hAnsi="Verdana" w:cs="Arial"/>
                <w:sz w:val="16"/>
                <w:szCs w:val="16"/>
              </w:rPr>
            </w:pPr>
            <w:r w:rsidRPr="0039727B">
              <w:rPr>
                <w:rFonts w:ascii="Verdana" w:eastAsia="Arial" w:hAnsi="Verdana" w:cs="Arial"/>
                <w:sz w:val="16"/>
                <w:szCs w:val="16"/>
              </w:rPr>
              <w:t xml:space="preserve">Lida Milena </w:t>
            </w:r>
            <w:proofErr w:type="spellStart"/>
            <w:r w:rsidRPr="0039727B">
              <w:rPr>
                <w:rFonts w:ascii="Verdana" w:eastAsia="Arial" w:hAnsi="Verdana" w:cs="Arial"/>
                <w:sz w:val="16"/>
                <w:szCs w:val="16"/>
              </w:rPr>
              <w:t>Guanumen</w:t>
            </w:r>
            <w:proofErr w:type="spellEnd"/>
            <w:r w:rsidRPr="0039727B">
              <w:rPr>
                <w:rFonts w:ascii="Verdana" w:eastAsia="Arial" w:hAnsi="Verdana" w:cs="Arial"/>
                <w:sz w:val="16"/>
                <w:szCs w:val="16"/>
              </w:rPr>
              <w:t xml:space="preserve"> Pacheco</w:t>
            </w:r>
          </w:p>
          <w:p w14:paraId="3AC1F56B" w14:textId="77777777" w:rsidR="0039727B" w:rsidRPr="0039727B" w:rsidRDefault="0039727B" w:rsidP="0039727B">
            <w:pPr>
              <w:rPr>
                <w:rFonts w:ascii="Verdana" w:eastAsia="Arial" w:hAnsi="Verdana" w:cs="Arial"/>
                <w:sz w:val="16"/>
                <w:szCs w:val="16"/>
              </w:rPr>
            </w:pPr>
            <w:r w:rsidRPr="0039727B">
              <w:rPr>
                <w:rFonts w:ascii="Verdana" w:eastAsia="Arial" w:hAnsi="Verdana" w:cs="Arial"/>
                <w:sz w:val="16"/>
                <w:szCs w:val="16"/>
              </w:rPr>
              <w:t>Contratista de la Subdirección de Gestión Contractual</w:t>
            </w:r>
          </w:p>
        </w:tc>
      </w:tr>
      <w:tr w:rsidR="0039727B" w:rsidRPr="0039727B" w14:paraId="1F5237F2" w14:textId="77777777" w:rsidTr="00615578">
        <w:trPr>
          <w:trHeight w:val="330"/>
        </w:trPr>
        <w:tc>
          <w:tcPr>
            <w:tcW w:w="893" w:type="dxa"/>
            <w:vAlign w:val="center"/>
            <w:hideMark/>
          </w:tcPr>
          <w:p w14:paraId="5EEEFCAF" w14:textId="77777777" w:rsidR="0039727B" w:rsidRPr="0039727B" w:rsidRDefault="0039727B" w:rsidP="0039727B">
            <w:pPr>
              <w:rPr>
                <w:rFonts w:ascii="Verdana" w:eastAsia="Calibri" w:hAnsi="Verdana" w:cs="Arial"/>
                <w:sz w:val="16"/>
                <w:szCs w:val="16"/>
                <w:lang w:val="es-ES" w:eastAsia="es-ES"/>
              </w:rPr>
            </w:pPr>
            <w:r w:rsidRPr="0039727B">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1609D78" w14:textId="77777777" w:rsidR="0039727B" w:rsidRPr="0039727B" w:rsidRDefault="0039727B" w:rsidP="0039727B">
            <w:pPr>
              <w:textAlignment w:val="baseline"/>
              <w:rPr>
                <w:rFonts w:ascii="Verdana" w:eastAsia="Times New Roman" w:hAnsi="Verdana" w:cs="Segoe UI"/>
                <w:sz w:val="16"/>
                <w:szCs w:val="16"/>
                <w:lang w:eastAsia="es-ES_tradnl"/>
              </w:rPr>
            </w:pPr>
            <w:r w:rsidRPr="0039727B">
              <w:rPr>
                <w:rFonts w:ascii="Verdana" w:eastAsia="Times New Roman" w:hAnsi="Verdana" w:cs="Segoe UI"/>
                <w:sz w:val="16"/>
                <w:szCs w:val="16"/>
                <w:lang w:eastAsia="es-ES_tradnl"/>
              </w:rPr>
              <w:t>Juan David Cárdenas Cabeza</w:t>
            </w:r>
          </w:p>
          <w:p w14:paraId="4285BA8B" w14:textId="77777777" w:rsidR="0039727B" w:rsidRPr="0039727B" w:rsidRDefault="0039727B" w:rsidP="0039727B">
            <w:pPr>
              <w:textAlignment w:val="baseline"/>
              <w:rPr>
                <w:rFonts w:ascii="Verdana" w:eastAsia="Times New Roman" w:hAnsi="Verdana" w:cs="Segoe UI"/>
                <w:sz w:val="16"/>
                <w:szCs w:val="16"/>
                <w:lang w:eastAsia="es-ES_tradnl"/>
              </w:rPr>
            </w:pPr>
            <w:r w:rsidRPr="0039727B">
              <w:rPr>
                <w:rFonts w:ascii="Verdana" w:eastAsia="Times New Roman" w:hAnsi="Verdana" w:cs="Arial"/>
                <w:sz w:val="16"/>
                <w:szCs w:val="16"/>
                <w:lang w:val="es-ES" w:eastAsia="es-ES_tradnl"/>
              </w:rPr>
              <w:t>Contratista de la Subdirección de Gestión Contractual</w:t>
            </w:r>
            <w:r w:rsidRPr="0039727B">
              <w:rPr>
                <w:rFonts w:ascii="Verdana" w:eastAsia="Times New Roman" w:hAnsi="Verdana" w:cs="Arial"/>
                <w:sz w:val="16"/>
                <w:szCs w:val="16"/>
                <w:lang w:eastAsia="es-ES_tradnl"/>
              </w:rPr>
              <w:t> </w:t>
            </w:r>
          </w:p>
        </w:tc>
      </w:tr>
      <w:tr w:rsidR="0039727B" w:rsidRPr="0039727B" w14:paraId="29BF3595" w14:textId="77777777" w:rsidTr="00615578">
        <w:trPr>
          <w:trHeight w:val="300"/>
        </w:trPr>
        <w:tc>
          <w:tcPr>
            <w:tcW w:w="893" w:type="dxa"/>
            <w:vAlign w:val="center"/>
          </w:tcPr>
          <w:p w14:paraId="30390366" w14:textId="77777777" w:rsidR="0039727B" w:rsidRPr="0039727B" w:rsidRDefault="0039727B" w:rsidP="0039727B">
            <w:pPr>
              <w:rPr>
                <w:rFonts w:ascii="Verdana" w:eastAsia="Calibri" w:hAnsi="Verdana" w:cs="Arial"/>
                <w:sz w:val="16"/>
                <w:szCs w:val="16"/>
                <w:lang w:val="es-ES" w:eastAsia="es-ES"/>
              </w:rPr>
            </w:pPr>
            <w:r w:rsidRPr="0039727B">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16443AA5" w14:textId="77777777" w:rsidR="0039727B" w:rsidRPr="0039727B" w:rsidRDefault="0039727B" w:rsidP="0039727B">
            <w:pPr>
              <w:rPr>
                <w:rFonts w:ascii="Verdana" w:eastAsia="Calibri" w:hAnsi="Verdana" w:cs="Arial"/>
                <w:sz w:val="16"/>
                <w:szCs w:val="16"/>
                <w:lang w:val="pt-BR" w:eastAsia="es-ES"/>
              </w:rPr>
            </w:pPr>
            <w:r w:rsidRPr="0039727B">
              <w:rPr>
                <w:rFonts w:ascii="Verdana" w:eastAsia="Calibri" w:hAnsi="Verdana" w:cs="Arial"/>
                <w:sz w:val="16"/>
                <w:szCs w:val="16"/>
                <w:lang w:val="pt-BR" w:eastAsia="es-ES"/>
              </w:rPr>
              <w:t>Carolina Quintero Gacharná</w:t>
            </w:r>
          </w:p>
          <w:p w14:paraId="528A9692" w14:textId="77777777" w:rsidR="0039727B" w:rsidRPr="0039727B" w:rsidRDefault="0039727B" w:rsidP="0039727B">
            <w:pPr>
              <w:rPr>
                <w:rFonts w:ascii="Verdana" w:eastAsia="Calibri" w:hAnsi="Verdana" w:cs="Arial"/>
                <w:sz w:val="16"/>
                <w:szCs w:val="16"/>
                <w:lang w:val="pt-BR" w:eastAsia="es-ES"/>
              </w:rPr>
            </w:pPr>
            <w:r w:rsidRPr="0039727B">
              <w:rPr>
                <w:rFonts w:ascii="Verdana" w:eastAsia="Calibri" w:hAnsi="Verdana" w:cs="Arial"/>
                <w:sz w:val="16"/>
                <w:szCs w:val="16"/>
                <w:lang w:eastAsia="es-ES"/>
              </w:rPr>
              <w:t>Subdirectora</w:t>
            </w:r>
            <w:r w:rsidRPr="0039727B">
              <w:rPr>
                <w:rFonts w:ascii="Verdana" w:eastAsia="Calibri" w:hAnsi="Verdana" w:cs="Arial"/>
                <w:sz w:val="16"/>
                <w:szCs w:val="16"/>
                <w:lang w:val="pt-BR" w:eastAsia="es-ES"/>
              </w:rPr>
              <w:t xml:space="preserve"> de Gestión Contratual ANCP – CCE</w:t>
            </w:r>
          </w:p>
        </w:tc>
      </w:tr>
    </w:tbl>
    <w:p w14:paraId="2777671A" w14:textId="77777777" w:rsidR="0039727B" w:rsidRPr="0039727B" w:rsidRDefault="0039727B" w:rsidP="0039727B">
      <w:pPr>
        <w:spacing w:after="0"/>
        <w:rPr>
          <w:rFonts w:ascii="Verdana" w:eastAsia="Calibri" w:hAnsi="Verdana" w:cs="Arial"/>
          <w:sz w:val="16"/>
          <w:szCs w:val="16"/>
        </w:rPr>
      </w:pPr>
      <w:r w:rsidRPr="0039727B">
        <w:rPr>
          <w:rFonts w:ascii="Verdana" w:eastAsia="Calibri" w:hAnsi="Verdana" w:cs="Arial"/>
          <w:sz w:val="16"/>
          <w:szCs w:val="16"/>
        </w:rPr>
        <w:t xml:space="preserve">  </w:t>
      </w:r>
    </w:p>
    <w:p w14:paraId="2ABB1F59" w14:textId="77777777" w:rsidR="0039727B" w:rsidRPr="0039727B" w:rsidRDefault="0039727B" w:rsidP="0039727B">
      <w:pPr>
        <w:spacing w:line="278" w:lineRule="auto"/>
        <w:rPr>
          <w:rFonts w:ascii="Aptos" w:eastAsia="Aptos" w:hAnsi="Aptos" w:cs="Times New Roman"/>
          <w:kern w:val="2"/>
          <w:sz w:val="24"/>
          <w:szCs w:val="24"/>
          <w14:ligatures w14:val="standardContextual"/>
        </w:rPr>
      </w:pPr>
    </w:p>
    <w:p w14:paraId="67AE5712" w14:textId="77777777" w:rsidR="0039727B" w:rsidRPr="0039727B" w:rsidRDefault="0039727B" w:rsidP="0039727B">
      <w:pPr>
        <w:spacing w:line="278" w:lineRule="auto"/>
        <w:rPr>
          <w:rFonts w:ascii="Aptos" w:eastAsia="Aptos" w:hAnsi="Aptos" w:cs="Times New Roman"/>
          <w:kern w:val="2"/>
          <w:sz w:val="24"/>
          <w:szCs w:val="24"/>
          <w14:ligatures w14:val="standardContextual"/>
        </w:rPr>
      </w:pPr>
    </w:p>
    <w:p w14:paraId="264F4128" w14:textId="77777777" w:rsidR="0039727B" w:rsidRPr="0039727B" w:rsidRDefault="0039727B" w:rsidP="0039727B">
      <w:pPr>
        <w:spacing w:after="0"/>
        <w:rPr>
          <w:rFonts w:ascii="Verdana" w:eastAsia="Calibri" w:hAnsi="Verdana" w:cs="Times New Roman"/>
        </w:rPr>
      </w:pPr>
    </w:p>
    <w:p w14:paraId="4983596C" w14:textId="77777777" w:rsidR="0039727B" w:rsidRPr="0039727B" w:rsidRDefault="0039727B" w:rsidP="0039727B">
      <w:pPr>
        <w:spacing w:line="278" w:lineRule="auto"/>
        <w:rPr>
          <w:rFonts w:ascii="Aptos" w:eastAsia="Aptos" w:hAnsi="Aptos" w:cs="Times New Roman"/>
          <w:kern w:val="2"/>
          <w:sz w:val="24"/>
          <w:szCs w:val="24"/>
          <w14:ligatures w14:val="standardContextual"/>
        </w:rPr>
      </w:pPr>
    </w:p>
    <w:p w14:paraId="78053B45" w14:textId="4F0A5F6C"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even" r:id="rId18"/>
      <w:headerReference w:type="default" r:id="rId19"/>
      <w:footerReference w:type="even" r:id="rId20"/>
      <w:footerReference w:type="default" r:id="rId21"/>
      <w:headerReference w:type="first" r:id="rId22"/>
      <w:footerReference w:type="firs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FB9C" w14:textId="77777777" w:rsidR="00491669" w:rsidRDefault="00491669" w:rsidP="004A1847">
      <w:pPr>
        <w:spacing w:after="0" w:line="240" w:lineRule="auto"/>
      </w:pPr>
      <w:r>
        <w:separator/>
      </w:r>
    </w:p>
  </w:endnote>
  <w:endnote w:type="continuationSeparator" w:id="0">
    <w:p w14:paraId="0E94EF49" w14:textId="77777777" w:rsidR="00491669" w:rsidRDefault="0049166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5182" w14:textId="77777777" w:rsidR="00E9691B" w:rsidRDefault="00E969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F289" w14:textId="77777777" w:rsidR="00E9691B" w:rsidRDefault="00E96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955AC" w14:textId="77777777" w:rsidR="00491669" w:rsidRDefault="00491669" w:rsidP="004A1847">
      <w:pPr>
        <w:spacing w:after="0" w:line="240" w:lineRule="auto"/>
      </w:pPr>
      <w:r>
        <w:separator/>
      </w:r>
    </w:p>
  </w:footnote>
  <w:footnote w:type="continuationSeparator" w:id="0">
    <w:p w14:paraId="28E6F13D" w14:textId="77777777" w:rsidR="00491669" w:rsidRDefault="00491669" w:rsidP="004A1847">
      <w:pPr>
        <w:spacing w:after="0" w:line="240" w:lineRule="auto"/>
      </w:pPr>
      <w:r>
        <w:continuationSeparator/>
      </w:r>
    </w:p>
  </w:footnote>
  <w:footnote w:id="1">
    <w:p w14:paraId="0225B4EA" w14:textId="77777777" w:rsidR="0039727B" w:rsidRPr="0034663B" w:rsidRDefault="0039727B" w:rsidP="0039727B">
      <w:pPr>
        <w:pStyle w:val="Textonotapie"/>
        <w:ind w:firstLine="709"/>
        <w:jc w:val="both"/>
        <w:rPr>
          <w:rFonts w:ascii="Verdana" w:eastAsia="Times New Roman" w:hAnsi="Verdana" w:cs="Arial"/>
          <w:sz w:val="14"/>
          <w:szCs w:val="14"/>
          <w:lang w:val="es-CO" w:eastAsia="es-CO"/>
        </w:rPr>
      </w:pPr>
      <w:r w:rsidRPr="0034663B">
        <w:rPr>
          <w:rStyle w:val="Refdenotaalpie"/>
          <w:rFonts w:ascii="Verdana" w:hAnsi="Verdana" w:cs="Arial"/>
          <w:sz w:val="14"/>
          <w:szCs w:val="14"/>
        </w:rPr>
        <w:footnoteRef/>
      </w:r>
      <w:r w:rsidRPr="0034663B">
        <w:rPr>
          <w:rFonts w:ascii="Verdana" w:hAnsi="Verdana" w:cs="Arial"/>
          <w:sz w:val="14"/>
          <w:szCs w:val="14"/>
        </w:rPr>
        <w:t xml:space="preserve"> </w:t>
      </w:r>
      <w:r w:rsidRPr="0034663B">
        <w:rPr>
          <w:rFonts w:ascii="Verdana" w:eastAsia="Times New Roman" w:hAnsi="Verdana" w:cs="Arial"/>
          <w:sz w:val="14"/>
          <w:szCs w:val="14"/>
          <w:lang w:val="es-CO" w:eastAsia="es-CO"/>
        </w:rPr>
        <w:t>Consejo de Estado. Sección Tercera. Sentencia del 27 de abril de 2011. Exp. 18.293. C.P. Ruth Stella Correa Palacio.</w:t>
      </w:r>
    </w:p>
  </w:footnote>
  <w:footnote w:id="2">
    <w:p w14:paraId="7B9A2AE1" w14:textId="77777777" w:rsidR="0039727B" w:rsidRPr="0034663B" w:rsidRDefault="0039727B" w:rsidP="0039727B">
      <w:pPr>
        <w:pStyle w:val="Textonotapie"/>
        <w:ind w:firstLine="709"/>
        <w:jc w:val="both"/>
        <w:rPr>
          <w:rFonts w:ascii="Verdana" w:eastAsia="Times New Roman" w:hAnsi="Verdana" w:cs="Arial"/>
          <w:sz w:val="14"/>
          <w:szCs w:val="14"/>
          <w:lang w:val="es-CO" w:eastAsia="es-CO"/>
        </w:rPr>
      </w:pPr>
      <w:r w:rsidRPr="0034663B">
        <w:rPr>
          <w:rStyle w:val="Refdenotaalpie"/>
          <w:rFonts w:ascii="Verdana" w:hAnsi="Verdana" w:cs="Arial"/>
          <w:sz w:val="14"/>
          <w:szCs w:val="14"/>
        </w:rPr>
        <w:footnoteRef/>
      </w:r>
      <w:r w:rsidRPr="0034663B">
        <w:rPr>
          <w:rFonts w:ascii="Verdana" w:hAnsi="Verdana" w:cs="Arial"/>
          <w:sz w:val="14"/>
          <w:szCs w:val="14"/>
        </w:rPr>
        <w:t xml:space="preserve"> </w:t>
      </w:r>
      <w:r w:rsidRPr="0034663B">
        <w:rPr>
          <w:rFonts w:ascii="Verdana" w:eastAsia="Times New Roman" w:hAnsi="Verdana" w:cs="Arial"/>
          <w:sz w:val="14"/>
          <w:szCs w:val="14"/>
          <w:lang w:val="es-CO" w:eastAsia="es-CO"/>
        </w:rPr>
        <w:t>Consejo de Estado. Sección Tercera. Sentencia del 21 de noviembre de 2013  Exp. 25397. C.P. Carlos Alberto Zambrano Barrera.</w:t>
      </w:r>
    </w:p>
    <w:p w14:paraId="646BEA95" w14:textId="77777777" w:rsidR="0039727B" w:rsidRPr="0034663B" w:rsidRDefault="0039727B" w:rsidP="0039727B">
      <w:pPr>
        <w:pStyle w:val="Textonotapie"/>
        <w:ind w:firstLine="709"/>
        <w:jc w:val="both"/>
        <w:rPr>
          <w:rFonts w:ascii="Verdana" w:eastAsia="Calibri" w:hAnsi="Verdana" w:cs="Arial"/>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3E7B" w14:textId="37732E95" w:rsidR="00E9691B" w:rsidRDefault="00E9691B">
    <w:pPr>
      <w:pStyle w:val="Encabezado"/>
    </w:pPr>
    <w:r>
      <w:rPr>
        <w:noProof/>
      </w:rPr>
      <w:pict w14:anchorId="7C9D3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401376" o:spid="_x0000_s5122" type="#_x0000_t136" style="position:absolute;margin-left:0;margin-top:0;width:551.1pt;height:71.85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22B4557A" w:rsidR="00756841" w:rsidRDefault="00E9691B">
    <w:pPr>
      <w:pStyle w:val="Encabezado"/>
    </w:pPr>
    <w:r>
      <w:rPr>
        <w:noProof/>
      </w:rPr>
      <w:pict w14:anchorId="6CA57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401377" o:spid="_x0000_s5123" type="#_x0000_t136" style="position:absolute;margin-left:0;margin-top:0;width:551.1pt;height:71.85pt;rotation:315;z-index:-251644928;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3C62" w14:textId="2F825F2D" w:rsidR="00E9691B" w:rsidRDefault="00E9691B">
    <w:pPr>
      <w:pStyle w:val="Encabezado"/>
    </w:pPr>
    <w:r>
      <w:rPr>
        <w:noProof/>
      </w:rPr>
      <w:pict w14:anchorId="73EEE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401375" o:spid="_x0000_s5121" type="#_x0000_t136" style="position:absolute;margin-left:0;margin-top:0;width:551.1pt;height:71.85pt;rotation:315;z-index:-251649024;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95440931" o:spid="_x0000_i1079" type="#_x0000_t75" style="width:11.5pt;height:11.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70E0D"/>
    <w:multiLevelType w:val="hybridMultilevel"/>
    <w:tmpl w:val="7ADE2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60B20"/>
    <w:multiLevelType w:val="hybridMultilevel"/>
    <w:tmpl w:val="929E1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A9E6EFB"/>
    <w:multiLevelType w:val="hybridMultilevel"/>
    <w:tmpl w:val="9430A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7D9353E"/>
    <w:multiLevelType w:val="hybridMultilevel"/>
    <w:tmpl w:val="CC045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867CB"/>
    <w:multiLevelType w:val="hybridMultilevel"/>
    <w:tmpl w:val="5E321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4A5586"/>
    <w:multiLevelType w:val="hybridMultilevel"/>
    <w:tmpl w:val="7EBC6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0"/>
  </w:num>
  <w:num w:numId="7" w16cid:durableId="1946422806">
    <w:abstractNumId w:val="7"/>
  </w:num>
  <w:num w:numId="8" w16cid:durableId="152644682">
    <w:abstractNumId w:val="19"/>
  </w:num>
  <w:num w:numId="9" w16cid:durableId="1317221377">
    <w:abstractNumId w:val="9"/>
  </w:num>
  <w:num w:numId="10" w16cid:durableId="1471245386">
    <w:abstractNumId w:val="18"/>
  </w:num>
  <w:num w:numId="11" w16cid:durableId="289172385">
    <w:abstractNumId w:val="10"/>
  </w:num>
  <w:num w:numId="12" w16cid:durableId="1470781324">
    <w:abstractNumId w:val="1"/>
  </w:num>
  <w:num w:numId="13" w16cid:durableId="1512908409">
    <w:abstractNumId w:val="3"/>
  </w:num>
  <w:num w:numId="14" w16cid:durableId="895897244">
    <w:abstractNumId w:val="21"/>
  </w:num>
  <w:num w:numId="15" w16cid:durableId="390349800">
    <w:abstractNumId w:val="14"/>
  </w:num>
  <w:num w:numId="16" w16cid:durableId="341274352">
    <w:abstractNumId w:val="0"/>
  </w:num>
  <w:num w:numId="17" w16cid:durableId="679089576">
    <w:abstractNumId w:val="12"/>
  </w:num>
  <w:num w:numId="18" w16cid:durableId="1492209491">
    <w:abstractNumId w:val="6"/>
  </w:num>
  <w:num w:numId="19" w16cid:durableId="588075328">
    <w:abstractNumId w:val="11"/>
  </w:num>
  <w:num w:numId="20" w16cid:durableId="1726873722">
    <w:abstractNumId w:val="15"/>
  </w:num>
  <w:num w:numId="21" w16cid:durableId="91750524">
    <w:abstractNumId w:val="13"/>
  </w:num>
  <w:num w:numId="22" w16cid:durableId="890338646">
    <w:abstractNumId w:val="4"/>
  </w:num>
  <w:num w:numId="23" w16cid:durableId="1782337420">
    <w:abstractNumId w:val="17"/>
  </w:num>
  <w:num w:numId="24" w16cid:durableId="1108352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353FF"/>
    <w:rsid w:val="001E4177"/>
    <w:rsid w:val="001F78F2"/>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9727B"/>
    <w:rsid w:val="003A26D1"/>
    <w:rsid w:val="003A779E"/>
    <w:rsid w:val="003B5813"/>
    <w:rsid w:val="003D0F4D"/>
    <w:rsid w:val="003D5B0D"/>
    <w:rsid w:val="003D6A24"/>
    <w:rsid w:val="003E0499"/>
    <w:rsid w:val="003F3941"/>
    <w:rsid w:val="00406575"/>
    <w:rsid w:val="0041406D"/>
    <w:rsid w:val="0042722E"/>
    <w:rsid w:val="0044528D"/>
    <w:rsid w:val="00491669"/>
    <w:rsid w:val="004A1847"/>
    <w:rsid w:val="004A305D"/>
    <w:rsid w:val="004E0074"/>
    <w:rsid w:val="004F21C4"/>
    <w:rsid w:val="004F685F"/>
    <w:rsid w:val="005566E8"/>
    <w:rsid w:val="00574867"/>
    <w:rsid w:val="00591460"/>
    <w:rsid w:val="00592628"/>
    <w:rsid w:val="005C3777"/>
    <w:rsid w:val="005C5CDC"/>
    <w:rsid w:val="005D476C"/>
    <w:rsid w:val="00610812"/>
    <w:rsid w:val="006219F8"/>
    <w:rsid w:val="00650FF7"/>
    <w:rsid w:val="00665D70"/>
    <w:rsid w:val="006719F8"/>
    <w:rsid w:val="00671DAC"/>
    <w:rsid w:val="006900D9"/>
    <w:rsid w:val="006D12F8"/>
    <w:rsid w:val="006D3090"/>
    <w:rsid w:val="00706C16"/>
    <w:rsid w:val="00756841"/>
    <w:rsid w:val="007649AB"/>
    <w:rsid w:val="00771D0C"/>
    <w:rsid w:val="007833AC"/>
    <w:rsid w:val="00797F5E"/>
    <w:rsid w:val="007B268C"/>
    <w:rsid w:val="007B7171"/>
    <w:rsid w:val="007C0C0F"/>
    <w:rsid w:val="007C3DC2"/>
    <w:rsid w:val="007E5497"/>
    <w:rsid w:val="00806F5F"/>
    <w:rsid w:val="00820278"/>
    <w:rsid w:val="008810B3"/>
    <w:rsid w:val="008843B6"/>
    <w:rsid w:val="00891928"/>
    <w:rsid w:val="008A446D"/>
    <w:rsid w:val="008C666A"/>
    <w:rsid w:val="008D180B"/>
    <w:rsid w:val="008F0EA7"/>
    <w:rsid w:val="009042C9"/>
    <w:rsid w:val="00923EEF"/>
    <w:rsid w:val="009419F9"/>
    <w:rsid w:val="0095685E"/>
    <w:rsid w:val="00961B09"/>
    <w:rsid w:val="00965334"/>
    <w:rsid w:val="0097093E"/>
    <w:rsid w:val="009A0DFA"/>
    <w:rsid w:val="009B2D26"/>
    <w:rsid w:val="009C71FA"/>
    <w:rsid w:val="009C72E7"/>
    <w:rsid w:val="009D3058"/>
    <w:rsid w:val="009F3A13"/>
    <w:rsid w:val="00A03597"/>
    <w:rsid w:val="00A122D3"/>
    <w:rsid w:val="00A17F13"/>
    <w:rsid w:val="00A20739"/>
    <w:rsid w:val="00A33C78"/>
    <w:rsid w:val="00AB0ADB"/>
    <w:rsid w:val="00AD13BB"/>
    <w:rsid w:val="00B01B1A"/>
    <w:rsid w:val="00B72CD3"/>
    <w:rsid w:val="00B72FFF"/>
    <w:rsid w:val="00BB273A"/>
    <w:rsid w:val="00BB63B7"/>
    <w:rsid w:val="00BC3D36"/>
    <w:rsid w:val="00BD7F72"/>
    <w:rsid w:val="00C04FB3"/>
    <w:rsid w:val="00C330EB"/>
    <w:rsid w:val="00C754BE"/>
    <w:rsid w:val="00C76B1C"/>
    <w:rsid w:val="00CB6357"/>
    <w:rsid w:val="00CC1B26"/>
    <w:rsid w:val="00CF465F"/>
    <w:rsid w:val="00D423A2"/>
    <w:rsid w:val="00D520D8"/>
    <w:rsid w:val="00D63AC2"/>
    <w:rsid w:val="00D7383B"/>
    <w:rsid w:val="00DA231B"/>
    <w:rsid w:val="00DA23A0"/>
    <w:rsid w:val="00DA38B4"/>
    <w:rsid w:val="00DC39FC"/>
    <w:rsid w:val="00DE3B4E"/>
    <w:rsid w:val="00DF5254"/>
    <w:rsid w:val="00E16408"/>
    <w:rsid w:val="00E20894"/>
    <w:rsid w:val="00E245AB"/>
    <w:rsid w:val="00E2764C"/>
    <w:rsid w:val="00E27F2E"/>
    <w:rsid w:val="00E413EA"/>
    <w:rsid w:val="00E50AFE"/>
    <w:rsid w:val="00E75C92"/>
    <w:rsid w:val="00E771DC"/>
    <w:rsid w:val="00E8772A"/>
    <w:rsid w:val="00E90F6B"/>
    <w:rsid w:val="00E92C27"/>
    <w:rsid w:val="00E9691B"/>
    <w:rsid w:val="00EA0E3D"/>
    <w:rsid w:val="00EC38A7"/>
    <w:rsid w:val="00EE1AA8"/>
    <w:rsid w:val="00F11877"/>
    <w:rsid w:val="00F31EDC"/>
    <w:rsid w:val="00F32EDD"/>
    <w:rsid w:val="00F462B3"/>
    <w:rsid w:val="00F5664F"/>
    <w:rsid w:val="00F666C4"/>
    <w:rsid w:val="00F76AFC"/>
    <w:rsid w:val="00FA47C0"/>
    <w:rsid w:val="00FB5DD1"/>
    <w:rsid w:val="00FC2B5D"/>
    <w:rsid w:val="00FF1449"/>
    <w:rsid w:val="00FF5800"/>
    <w:rsid w:val="5CEADB7B"/>
    <w:rsid w:val="7F75D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9727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04-documentos-tipo-para-licitacion-de-obra-publica-de-infraestructura-de-transporte-vers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manuales-guias-y-pliegos-tipo/manuales-y-guia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a6cb9e4b-f1d1-4245-83ec-6cad768d538a"/>
    <ds:schemaRef ds:uri="http://purl.org/dc/elements/1.1/"/>
    <ds:schemaRef ds:uri="9d85dbaf-23eb-4e57-a637-93dcacc8b1a1"/>
  </ds:schemaRefs>
</ds:datastoreItem>
</file>

<file path=customXml/itemProps3.xml><?xml version="1.0" encoding="utf-8"?>
<ds:datastoreItem xmlns:ds="http://schemas.openxmlformats.org/officeDocument/2006/customXml" ds:itemID="{7BD54F6C-6EA0-46F4-ADD1-1B2ACAD8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3831</Words>
  <Characters>21075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3</cp:revision>
  <cp:lastPrinted>2023-01-10T21:18:00Z</cp:lastPrinted>
  <dcterms:created xsi:type="dcterms:W3CDTF">2024-09-03T12:46:00Z</dcterms:created>
  <dcterms:modified xsi:type="dcterms:W3CDTF">2024-09-24T22:15:00Z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