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9EBE" w14:textId="77777777" w:rsidR="00795A64" w:rsidRPr="00FF4FF6" w:rsidRDefault="00795A64" w:rsidP="00FF4FF6">
      <w:pPr>
        <w:spacing w:line="240" w:lineRule="auto"/>
        <w:jc w:val="both"/>
        <w:rPr>
          <w:rFonts w:ascii="Arial" w:hAnsi="Arial" w:cs="Arial"/>
          <w:b/>
          <w:bCs/>
          <w:color w:val="000000"/>
          <w:sz w:val="20"/>
          <w:szCs w:val="20"/>
        </w:rPr>
      </w:pPr>
      <w:r w:rsidRPr="00FF4FF6">
        <w:rPr>
          <w:rFonts w:ascii="Arial" w:hAnsi="Arial" w:cs="Arial"/>
          <w:b/>
          <w:bCs/>
          <w:color w:val="000000"/>
          <w:sz w:val="20"/>
          <w:szCs w:val="20"/>
        </w:rPr>
        <w:t>DOCUMENTOS TIPO – Fundamento normativo</w:t>
      </w:r>
    </w:p>
    <w:p w14:paraId="085101C3" w14:textId="76AFD682" w:rsidR="00795A64" w:rsidRPr="00FF4FF6" w:rsidRDefault="00795A64" w:rsidP="00FF4FF6">
      <w:pPr>
        <w:spacing w:before="120" w:after="120" w:line="240" w:lineRule="auto"/>
        <w:jc w:val="both"/>
        <w:rPr>
          <w:rFonts w:ascii="Arial" w:eastAsia="Calibri" w:hAnsi="Arial" w:cs="Arial"/>
          <w:sz w:val="20"/>
          <w:szCs w:val="20"/>
          <w:bdr w:val="none" w:sz="0" w:space="0" w:color="auto" w:frame="1"/>
        </w:rPr>
      </w:pPr>
      <w:r w:rsidRPr="00FF4FF6">
        <w:rPr>
          <w:rFonts w:ascii="Arial" w:hAnsi="Arial" w:cs="Arial"/>
          <w:sz w:val="20"/>
          <w:szCs w:val="20"/>
        </w:rPr>
        <w:t>[l]</w:t>
      </w:r>
      <w:r w:rsidRPr="00FF4FF6">
        <w:rPr>
          <w:rFonts w:ascii="Arial" w:eastAsia="Calibri" w:hAnsi="Arial" w:cs="Arial"/>
          <w:color w:val="000000"/>
          <w:sz w:val="20"/>
          <w:szCs w:val="20"/>
          <w:lang w:val="es-ES" w:eastAsia="es-ES"/>
        </w:rPr>
        <w:t xml:space="preserve">a Ley 2022 de 2020 fue sancionada por el presidente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26BD4306" w14:textId="77777777" w:rsidR="00795A64" w:rsidRPr="00FF4FF6" w:rsidRDefault="00795A64" w:rsidP="00FF4FF6">
      <w:pPr>
        <w:spacing w:before="120" w:after="120" w:line="240" w:lineRule="auto"/>
        <w:jc w:val="both"/>
        <w:rPr>
          <w:rFonts w:ascii="Arial" w:eastAsia="Calibri" w:hAnsi="Arial" w:cs="Arial"/>
          <w:sz w:val="20"/>
          <w:szCs w:val="20"/>
          <w:lang w:val="es-ES" w:eastAsia="es-ES"/>
        </w:rPr>
      </w:pPr>
      <w:r w:rsidRPr="00FF4FF6">
        <w:rPr>
          <w:rFonts w:ascii="Arial" w:eastAsia="Calibri" w:hAnsi="Arial" w:cs="Arial"/>
          <w:sz w:val="20"/>
          <w:szCs w:val="20"/>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3C987A0E" w14:textId="77777777" w:rsidR="00795A64" w:rsidRPr="00FF4FF6" w:rsidRDefault="00795A64" w:rsidP="00FF4FF6">
      <w:pPr>
        <w:spacing w:line="240" w:lineRule="auto"/>
        <w:jc w:val="both"/>
        <w:rPr>
          <w:rFonts w:ascii="Arial" w:eastAsia="Calibri" w:hAnsi="Arial" w:cs="Arial"/>
          <w:b/>
          <w:bCs/>
          <w:sz w:val="20"/>
          <w:szCs w:val="20"/>
        </w:rPr>
      </w:pPr>
      <w:r w:rsidRPr="00FF4FF6">
        <w:rPr>
          <w:rFonts w:ascii="Arial" w:eastAsia="Calibri" w:hAnsi="Arial" w:cs="Arial"/>
          <w:b/>
          <w:bCs/>
          <w:sz w:val="20"/>
          <w:szCs w:val="20"/>
        </w:rPr>
        <w:t xml:space="preserve">CAPACIDAD RESIDUAL – Documentos tipo – Experiencia </w:t>
      </w:r>
    </w:p>
    <w:p w14:paraId="06817BD1" w14:textId="77777777" w:rsidR="00CF30C5" w:rsidRPr="00FF4FF6" w:rsidRDefault="00CF30C5" w:rsidP="00FF4FF6">
      <w:pPr>
        <w:spacing w:line="240" w:lineRule="auto"/>
        <w:jc w:val="both"/>
        <w:rPr>
          <w:rFonts w:ascii="Arial" w:eastAsia="Calibri" w:hAnsi="Arial" w:cs="Arial"/>
          <w:sz w:val="20"/>
          <w:szCs w:val="20"/>
        </w:rPr>
      </w:pPr>
      <w:r w:rsidRPr="00FF4FF6">
        <w:rPr>
          <w:rFonts w:ascii="Arial" w:eastAsia="Calibri" w:hAnsi="Arial" w:cs="Arial"/>
          <w:sz w:val="20"/>
          <w:szCs w:val="20"/>
        </w:rPr>
        <w:t>Por su parte, el “Formato 5 – Capacidad Residual”, adoptado por la Resolución No. 240 para procesos de licitación de obra de infraestructura pública de transporte, así como el adoptado por la Resolución No. 241 de 2020 para procesos del mismo tipo para la modalidad de selección abreviada de menor cuantía, establecen lo siguiente: [La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1FD946A6" w14:textId="79ED1154" w:rsidR="00CF30C5" w:rsidRPr="00FF4FF6" w:rsidRDefault="00CF30C5" w:rsidP="00FF4FF6">
      <w:pPr>
        <w:spacing w:line="240" w:lineRule="auto"/>
        <w:jc w:val="both"/>
        <w:rPr>
          <w:rFonts w:ascii="Arial" w:eastAsia="Calibri" w:hAnsi="Arial" w:cs="Arial"/>
          <w:sz w:val="20"/>
          <w:szCs w:val="20"/>
        </w:rPr>
      </w:pPr>
      <w:r w:rsidRPr="00FF4FF6">
        <w:rPr>
          <w:rFonts w:ascii="Arial" w:eastAsia="Calibri" w:hAnsi="Arial" w:cs="Arial"/>
          <w:sz w:val="20"/>
          <w:szCs w:val="20"/>
        </w:rPr>
        <w:t>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Dicha</w:t>
      </w:r>
      <w:r w:rsidR="00FF4FF6" w:rsidRPr="00FF4FF6">
        <w:rPr>
          <w:rFonts w:ascii="Arial" w:eastAsia="Calibri" w:hAnsi="Arial" w:cs="Arial"/>
          <w:sz w:val="20"/>
          <w:szCs w:val="20"/>
        </w:rPr>
        <w:t xml:space="preserve"> </w:t>
      </w:r>
      <w:r w:rsidRPr="00FF4FF6">
        <w:rPr>
          <w:rFonts w:ascii="Arial" w:eastAsia="Calibri" w:hAnsi="Arial" w:cs="Arial"/>
          <w:sz w:val="20"/>
          <w:szCs w:val="20"/>
        </w:rPr>
        <w:t>información es la que debe aportar el proponente para acreditar su capacidad residual.</w:t>
      </w:r>
    </w:p>
    <w:p w14:paraId="512E9A33" w14:textId="77777777" w:rsidR="00795A64" w:rsidRPr="00FF4FF6" w:rsidRDefault="00795A64" w:rsidP="00FF4FF6">
      <w:pPr>
        <w:spacing w:line="240" w:lineRule="auto"/>
        <w:jc w:val="both"/>
        <w:rPr>
          <w:rFonts w:ascii="Arial" w:eastAsia="Calibri" w:hAnsi="Arial" w:cs="Arial"/>
          <w:b/>
          <w:bCs/>
          <w:color w:val="000000"/>
          <w:sz w:val="20"/>
          <w:szCs w:val="20"/>
          <w:lang w:eastAsia="en-GB"/>
        </w:rPr>
      </w:pPr>
      <w:r w:rsidRPr="00FF4FF6">
        <w:rPr>
          <w:rFonts w:ascii="Arial" w:eastAsia="Calibri" w:hAnsi="Arial" w:cs="Arial"/>
          <w:b/>
          <w:bCs/>
          <w:sz w:val="20"/>
          <w:szCs w:val="20"/>
        </w:rPr>
        <w:t xml:space="preserve">CAPACIDAD RESIDUAL – Documentos tipo − </w:t>
      </w:r>
      <w:r w:rsidRPr="00FF4FF6">
        <w:rPr>
          <w:rFonts w:ascii="Arial" w:eastAsia="Calibri" w:hAnsi="Arial" w:cs="Arial"/>
          <w:b/>
          <w:bCs/>
          <w:color w:val="000000"/>
          <w:sz w:val="20"/>
          <w:szCs w:val="20"/>
          <w:lang w:eastAsia="en-GB"/>
        </w:rPr>
        <w:t xml:space="preserve">Causales de rechazo de la oferta – Licitación Pública </w:t>
      </w:r>
    </w:p>
    <w:p w14:paraId="31FE0FAF" w14:textId="03043AE8" w:rsidR="00CF30C5" w:rsidRPr="00FF4FF6" w:rsidRDefault="00FF4FF6" w:rsidP="00FF4FF6">
      <w:pPr>
        <w:spacing w:line="240" w:lineRule="auto"/>
        <w:jc w:val="both"/>
        <w:rPr>
          <w:rFonts w:ascii="Arial" w:eastAsia="Calibri" w:hAnsi="Arial" w:cs="Arial"/>
          <w:color w:val="000000"/>
          <w:sz w:val="20"/>
          <w:szCs w:val="20"/>
          <w:lang w:eastAsia="en-GB"/>
        </w:rPr>
      </w:pPr>
      <w:r w:rsidRPr="00FF4FF6">
        <w:rPr>
          <w:rFonts w:ascii="Arial" w:eastAsia="Calibri" w:hAnsi="Arial" w:cs="Arial"/>
          <w:color w:val="000000"/>
          <w:sz w:val="20"/>
          <w:szCs w:val="20"/>
          <w:lang w:eastAsia="en-GB"/>
        </w:rPr>
        <w:t xml:space="preserve">i) </w:t>
      </w:r>
      <w:r w:rsidR="00CF30C5" w:rsidRPr="00FF4FF6">
        <w:rPr>
          <w:rFonts w:ascii="Arial" w:eastAsia="Calibri" w:hAnsi="Arial" w:cs="Arial"/>
          <w:color w:val="000000"/>
          <w:sz w:val="20"/>
          <w:szCs w:val="20"/>
          <w:lang w:eastAsia="en-GB"/>
        </w:rPr>
        <w:t>La causal del literal Z del numeral 1.15 solamente aplica cuando el proponente no</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informa todos los contratos que tiene en ejecución antes del cierre. Esto se traduce en un deber</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de cumplir con esta exigencia, sin tener en cuenta la información relacionada en cada uno de ellos.</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Por ejemplo, si el contratista tiene en ejecución diez contratos, esta causal aplica si el contratista</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reporta nueve o menos; excluyéndose la configuración de la causal cuando el proponente comete</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algún error en el contenido de la información de los contratos, siempre que los reporte todos. Por</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tanto, la configuración de la causal de rechazo del literal Z es objetiva, pues solo aplica ante la</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omisión del proponente de informar todos los contratos en ejecución antes del cierre del proceso,</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es decir, opera también cuando no se aporte con la oferta el Formato 5, sólo si, con ello se está</w:t>
      </w:r>
      <w:r w:rsidRPr="00FF4FF6">
        <w:rPr>
          <w:rFonts w:ascii="Arial" w:eastAsia="Calibri" w:hAnsi="Arial" w:cs="Arial"/>
          <w:color w:val="000000"/>
          <w:sz w:val="20"/>
          <w:szCs w:val="20"/>
          <w:lang w:eastAsia="en-GB"/>
        </w:rPr>
        <w:t xml:space="preserve"> </w:t>
      </w:r>
      <w:r w:rsidR="00CF30C5" w:rsidRPr="00FF4FF6">
        <w:rPr>
          <w:rFonts w:ascii="Arial" w:eastAsia="Calibri" w:hAnsi="Arial" w:cs="Arial"/>
          <w:color w:val="000000"/>
          <w:sz w:val="20"/>
          <w:szCs w:val="20"/>
          <w:lang w:eastAsia="en-GB"/>
        </w:rPr>
        <w:t>omitiendo informar contratos que tenga en ejecución el proponente.</w:t>
      </w:r>
    </w:p>
    <w:p w14:paraId="33BF6B57" w14:textId="0EA774C6" w:rsidR="00CF30C5" w:rsidRPr="00FF4FF6" w:rsidRDefault="00CF30C5" w:rsidP="00FF4FF6">
      <w:pPr>
        <w:spacing w:line="240" w:lineRule="auto"/>
        <w:jc w:val="both"/>
        <w:rPr>
          <w:rFonts w:ascii="Arial" w:eastAsia="Calibri" w:hAnsi="Arial" w:cs="Arial"/>
          <w:color w:val="000000"/>
          <w:sz w:val="20"/>
          <w:szCs w:val="20"/>
          <w:lang w:eastAsia="en-GB"/>
        </w:rPr>
      </w:pPr>
      <w:r w:rsidRPr="00FF4FF6">
        <w:rPr>
          <w:rFonts w:ascii="Arial" w:eastAsia="Calibri" w:hAnsi="Arial" w:cs="Arial"/>
          <w:color w:val="000000"/>
          <w:sz w:val="20"/>
          <w:szCs w:val="20"/>
          <w:lang w:eastAsia="en-GB"/>
        </w:rPr>
        <w:t>ii) Lo anterior, sin perjuicio de que para el proponente tenga consecuencias omitir o errar</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en la información específica de cada contrato –esto es, la cuantía o el plazo, entre otros–, pues la</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entidad podrá requerirlo para que aclare la información y, en caso de no responder, rechazar la</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propuesta por la causal que consagra el literal E del numeral 1.15.</w:t>
      </w:r>
    </w:p>
    <w:p w14:paraId="49AEFD7B" w14:textId="1FE6D8D9" w:rsidR="00CF30C5" w:rsidRPr="00FF4FF6" w:rsidRDefault="00CF30C5" w:rsidP="00FF4FF6">
      <w:pPr>
        <w:spacing w:line="240" w:lineRule="auto"/>
        <w:jc w:val="both"/>
        <w:rPr>
          <w:rFonts w:ascii="Arial" w:eastAsia="Calibri" w:hAnsi="Arial" w:cs="Arial"/>
          <w:color w:val="000000"/>
          <w:sz w:val="20"/>
          <w:szCs w:val="20"/>
          <w:lang w:eastAsia="en-GB"/>
        </w:rPr>
      </w:pPr>
      <w:r w:rsidRPr="00FF4FF6">
        <w:rPr>
          <w:rFonts w:ascii="Arial" w:eastAsia="Calibri" w:hAnsi="Arial" w:cs="Arial"/>
          <w:color w:val="000000"/>
          <w:sz w:val="20"/>
          <w:szCs w:val="20"/>
          <w:lang w:eastAsia="en-GB"/>
        </w:rPr>
        <w:lastRenderedPageBreak/>
        <w:t>iii) Lo dicho en los numerales precedentes tampoco descarta la posibilidad de que la</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entidad rechace la oferta si encuentra configurada la causal establecida en el literal H del numeral</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1.15, que aplica cuando el proponente aporta información inexacta, de acuerdo con lo señalado</w:t>
      </w:r>
      <w:r w:rsidR="00FF4FF6" w:rsidRPr="00FF4FF6">
        <w:rPr>
          <w:rFonts w:ascii="Arial" w:eastAsia="Calibri" w:hAnsi="Arial" w:cs="Arial"/>
          <w:color w:val="000000"/>
          <w:sz w:val="20"/>
          <w:szCs w:val="20"/>
          <w:lang w:eastAsia="en-GB"/>
        </w:rPr>
        <w:t xml:space="preserve"> </w:t>
      </w:r>
      <w:r w:rsidRPr="00FF4FF6">
        <w:rPr>
          <w:rFonts w:ascii="Arial" w:eastAsia="Calibri" w:hAnsi="Arial" w:cs="Arial"/>
          <w:color w:val="000000"/>
          <w:sz w:val="20"/>
          <w:szCs w:val="20"/>
          <w:lang w:eastAsia="en-GB"/>
        </w:rPr>
        <w:t>en el numeral 1.11. del documento base</w:t>
      </w:r>
    </w:p>
    <w:p w14:paraId="3E22D1D9" w14:textId="0707DA0E" w:rsidR="00795A64" w:rsidRPr="00FF4FF6" w:rsidRDefault="00795A64" w:rsidP="00FF4FF6">
      <w:pPr>
        <w:spacing w:line="240" w:lineRule="auto"/>
        <w:jc w:val="both"/>
        <w:rPr>
          <w:rFonts w:ascii="Arial" w:eastAsia="Calibri" w:hAnsi="Arial" w:cs="Arial"/>
          <w:b/>
          <w:bCs/>
          <w:sz w:val="20"/>
          <w:szCs w:val="20"/>
          <w:lang w:val="es-ES_tradnl"/>
        </w:rPr>
      </w:pPr>
      <w:r w:rsidRPr="00FF4FF6">
        <w:rPr>
          <w:rFonts w:ascii="Arial" w:eastAsia="Calibri" w:hAnsi="Arial" w:cs="Arial"/>
          <w:b/>
          <w:bCs/>
          <w:sz w:val="20"/>
          <w:szCs w:val="20"/>
          <w:lang w:val="es-ES_tradnl"/>
        </w:rPr>
        <w:t xml:space="preserve">CAPACIDAD RESIDUAL – Deber de reportar la totalidad de contratos – Cargas – Proponente </w:t>
      </w:r>
    </w:p>
    <w:p w14:paraId="17E9B75E" w14:textId="11DCF8C9" w:rsidR="00CF30C5" w:rsidRPr="00FF4FF6" w:rsidRDefault="00FF4FF6" w:rsidP="00FF4FF6">
      <w:pPr>
        <w:spacing w:line="240" w:lineRule="auto"/>
        <w:jc w:val="both"/>
        <w:rPr>
          <w:rFonts w:ascii="Arial" w:eastAsia="Calibri" w:hAnsi="Arial" w:cs="Arial"/>
          <w:sz w:val="20"/>
          <w:szCs w:val="20"/>
          <w:lang w:val="es-ES_tradnl"/>
        </w:rPr>
      </w:pPr>
      <w:r w:rsidRPr="00FF4FF6">
        <w:rPr>
          <w:rFonts w:ascii="Arial" w:eastAsia="Calibri" w:hAnsi="Arial" w:cs="Arial"/>
          <w:sz w:val="20"/>
          <w:szCs w:val="20"/>
          <w:lang w:val="es-ES_tradnl"/>
        </w:rPr>
        <w:t>L</w:t>
      </w:r>
      <w:r w:rsidR="00CF30C5" w:rsidRPr="00FF4FF6">
        <w:rPr>
          <w:rFonts w:ascii="Arial" w:eastAsia="Calibri" w:hAnsi="Arial" w:cs="Arial"/>
          <w:sz w:val="20"/>
          <w:szCs w:val="20"/>
          <w:lang w:val="es-ES_tradnl"/>
        </w:rPr>
        <w:t>a causal del literal Z procede cuando el proponente no informa todos</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los contratos de obra, fenómeno que se verifica con el formato 5. En este supuesto, lo que genera</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el rechazo de la oferta no es la ausencia de la información del contrato omitido, sino el hecho de</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haberse omitido anexar el documento mediante el cual se acredita la capacidad residual,</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correspondiente a el Formato 5, en caso de tener efectivamente contratos en ejecución. Incluso,</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en el evento en que el proponente “corrija” el error y aporte el formato 5, informando la existencia</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de contratos en ejecución no reportados al momento del cierre del proceso, implica aceptar que</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ocurrió la causal del literal Z, esto es, que el proponente incumplió su obligación de informar todos</w:t>
      </w:r>
      <w:r w:rsidRPr="00FF4FF6">
        <w:rPr>
          <w:rFonts w:ascii="Arial" w:eastAsia="Calibri" w:hAnsi="Arial" w:cs="Arial"/>
          <w:sz w:val="20"/>
          <w:szCs w:val="20"/>
          <w:lang w:val="es-ES_tradnl"/>
        </w:rPr>
        <w:t xml:space="preserve"> </w:t>
      </w:r>
      <w:r w:rsidR="00CF30C5" w:rsidRPr="00FF4FF6">
        <w:rPr>
          <w:rFonts w:ascii="Arial" w:eastAsia="Calibri" w:hAnsi="Arial" w:cs="Arial"/>
          <w:sz w:val="20"/>
          <w:szCs w:val="20"/>
          <w:lang w:val="es-ES_tradnl"/>
        </w:rPr>
        <w:t>los contratos de obra que tenía en ejecución al momento del cierre del proceso de selección.</w:t>
      </w:r>
    </w:p>
    <w:p w14:paraId="4945F2F5" w14:textId="1F780A48" w:rsidR="00CF30C5" w:rsidRPr="00FF4FF6" w:rsidRDefault="00CF30C5" w:rsidP="00FF4FF6">
      <w:pPr>
        <w:spacing w:line="240" w:lineRule="auto"/>
        <w:jc w:val="both"/>
        <w:rPr>
          <w:rFonts w:ascii="Arial" w:eastAsia="Calibri" w:hAnsi="Arial" w:cs="Arial"/>
          <w:sz w:val="20"/>
          <w:szCs w:val="20"/>
          <w:lang w:val="es-ES_tradnl"/>
        </w:rPr>
      </w:pPr>
      <w:r w:rsidRPr="00FF4FF6">
        <w:rPr>
          <w:rFonts w:ascii="Arial" w:eastAsia="Calibri" w:hAnsi="Arial" w:cs="Arial"/>
          <w:sz w:val="20"/>
          <w:szCs w:val="20"/>
          <w:lang w:val="es-ES_tradnl"/>
        </w:rPr>
        <w:t>Conclusión similar le aplica al literal H del numeral 1.15. del documento base, en el</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entendido de que el supuesto de hecho de esa causal, esto es, lo que genera el rechazo de la</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oferta, es la acción del proponente de aportar “[</w:t>
      </w:r>
      <w:proofErr w:type="gramStart"/>
      <w:r w:rsidRPr="00FF4FF6">
        <w:rPr>
          <w:rFonts w:ascii="Arial" w:eastAsia="Calibri" w:hAnsi="Arial" w:cs="Arial"/>
          <w:sz w:val="20"/>
          <w:szCs w:val="20"/>
          <w:lang w:val="es-ES_tradnl"/>
        </w:rPr>
        <w:t>… ]</w:t>
      </w:r>
      <w:proofErr w:type="gramEnd"/>
      <w:r w:rsidRPr="00FF4FF6">
        <w:rPr>
          <w:rFonts w:ascii="Arial" w:eastAsia="Calibri" w:hAnsi="Arial" w:cs="Arial"/>
          <w:sz w:val="20"/>
          <w:szCs w:val="20"/>
          <w:lang w:val="es-ES_tradnl"/>
        </w:rPr>
        <w:t xml:space="preserve"> información inexacta sobre la cual pueda</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existir una posible falsedad [… ]”, no la ausencia de la información que podría haberse tomado</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del contrato viciado de falsedad. Al respecto, surge la siguiente inquietud: ¿es posible subsanar</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el hecho de aportar una firma falsa presentando el documento firmado válidamente? Para esta</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entidad, la respuesta es negativa debido a que la finalidad que persigue la causal sub examine</w:t>
      </w:r>
      <w:r w:rsidR="00FF4FF6" w:rsidRPr="00FF4FF6">
        <w:rPr>
          <w:rFonts w:ascii="Arial" w:eastAsia="Calibri" w:hAnsi="Arial" w:cs="Arial"/>
          <w:sz w:val="20"/>
          <w:szCs w:val="20"/>
          <w:lang w:val="es-ES_tradnl"/>
        </w:rPr>
        <w:t xml:space="preserve"> </w:t>
      </w:r>
      <w:r w:rsidRPr="00FF4FF6">
        <w:rPr>
          <w:rFonts w:ascii="Arial" w:eastAsia="Calibri" w:hAnsi="Arial" w:cs="Arial"/>
          <w:sz w:val="20"/>
          <w:szCs w:val="20"/>
          <w:lang w:val="es-ES_tradnl"/>
        </w:rPr>
        <w:t>es desincentivar todas las prácticas fraudulentas en los procesos de contratación estatal</w:t>
      </w:r>
    </w:p>
    <w:p w14:paraId="5F90EA85" w14:textId="0AB4335B" w:rsidR="00795A64" w:rsidRPr="00FF4FF6" w:rsidRDefault="00795A64" w:rsidP="00FF4FF6">
      <w:pPr>
        <w:spacing w:line="240" w:lineRule="auto"/>
        <w:jc w:val="both"/>
        <w:rPr>
          <w:rFonts w:ascii="Arial" w:hAnsi="Arial" w:cs="Arial"/>
          <w:b/>
          <w:bCs/>
          <w:sz w:val="20"/>
          <w:szCs w:val="20"/>
        </w:rPr>
      </w:pPr>
      <w:r w:rsidRPr="00FF4FF6">
        <w:rPr>
          <w:rFonts w:ascii="Arial" w:hAnsi="Arial" w:cs="Arial"/>
          <w:b/>
          <w:bCs/>
          <w:sz w:val="20"/>
          <w:szCs w:val="20"/>
        </w:rPr>
        <w:t>CAPACIDAD RESIDUAL- Requisito Habilitante – Subsanación – Aclaración</w:t>
      </w:r>
    </w:p>
    <w:p w14:paraId="301D495C" w14:textId="214B5A95" w:rsidR="00CF30C5" w:rsidRPr="00FF4FF6" w:rsidRDefault="00CF30C5" w:rsidP="00FF4FF6">
      <w:pPr>
        <w:spacing w:line="240" w:lineRule="auto"/>
        <w:jc w:val="both"/>
        <w:rPr>
          <w:rFonts w:ascii="Arial" w:eastAsia="Geomanist Light" w:hAnsi="Arial" w:cs="Arial"/>
          <w:color w:val="000000" w:themeColor="text1"/>
          <w:sz w:val="20"/>
          <w:szCs w:val="20"/>
          <w:lang w:val="es-MX"/>
        </w:rPr>
      </w:pPr>
      <w:r w:rsidRPr="00FF4FF6">
        <w:rPr>
          <w:rFonts w:ascii="Arial" w:eastAsia="Geomanist Light" w:hAnsi="Arial" w:cs="Arial"/>
          <w:color w:val="000000" w:themeColor="text1"/>
          <w:sz w:val="20"/>
          <w:szCs w:val="20"/>
          <w:lang w:val="es-MX"/>
        </w:rPr>
        <w:t xml:space="preserve">De conformidad con lo expuesto y teniendo en cuenta que la </w:t>
      </w:r>
      <w:r w:rsidRPr="00FF4FF6">
        <w:rPr>
          <w:rFonts w:ascii="Arial" w:eastAsia="Geomanist Light" w:hAnsi="Arial" w:cs="Arial"/>
          <w:i/>
          <w:iCs/>
          <w:color w:val="000000" w:themeColor="text1"/>
          <w:sz w:val="20"/>
          <w:szCs w:val="20"/>
          <w:lang w:val="es-MX"/>
        </w:rPr>
        <w:t>Capacidad Residual</w:t>
      </w:r>
      <w:r w:rsidRPr="00FF4FF6">
        <w:rPr>
          <w:rFonts w:ascii="Arial" w:eastAsia="Geomanist Light" w:hAnsi="Arial" w:cs="Arial"/>
          <w:color w:val="000000" w:themeColor="text1"/>
          <w:sz w:val="20"/>
          <w:szCs w:val="20"/>
          <w:lang w:val="es-MX"/>
        </w:rPr>
        <w:t xml:space="preserve"> es un</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i/>
          <w:iCs/>
          <w:color w:val="000000" w:themeColor="text1"/>
          <w:sz w:val="20"/>
          <w:szCs w:val="20"/>
          <w:lang w:val="es-MX"/>
        </w:rPr>
        <w:t>requisito habilitante</w:t>
      </w:r>
      <w:r w:rsidRPr="00FF4FF6">
        <w:rPr>
          <w:rFonts w:ascii="Arial" w:eastAsia="Geomanist Light" w:hAnsi="Arial" w:cs="Arial"/>
          <w:color w:val="000000" w:themeColor="text1"/>
          <w:sz w:val="20"/>
          <w:szCs w:val="20"/>
          <w:lang w:val="es-MX"/>
        </w:rPr>
        <w:t xml:space="preserve"> está sujeta a la posibilidad de solicitarle aclaración, con el fin de esclarecer</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dudas sobre aspectos de la información presentada por el proponente y de igual forma, esa sujeta</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a la posibilidad de subsanar la ausencia de requisitos, siempre que se cumpla con los límites</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temporales y materiales descritos, es decir, que lo omitido no sea un factor que afecte la</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asignación de puntaje, sea la prueba de una circunstancia o hecho que ocurrió con anterioridad</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al cierre del proceso y no existe disposición legal o en el pliego de condiciones que prohíba su</w:t>
      </w:r>
      <w:r w:rsidR="00FF4FF6" w:rsidRPr="00FF4FF6">
        <w:rPr>
          <w:rFonts w:ascii="Arial" w:eastAsia="Geomanist Light" w:hAnsi="Arial" w:cs="Arial"/>
          <w:color w:val="000000" w:themeColor="text1"/>
          <w:sz w:val="20"/>
          <w:szCs w:val="20"/>
          <w:lang w:val="es-MX"/>
        </w:rPr>
        <w:t xml:space="preserve"> </w:t>
      </w:r>
      <w:r w:rsidRPr="00FF4FF6">
        <w:rPr>
          <w:rFonts w:ascii="Arial" w:eastAsia="Geomanist Light" w:hAnsi="Arial" w:cs="Arial"/>
          <w:color w:val="000000" w:themeColor="text1"/>
          <w:sz w:val="20"/>
          <w:szCs w:val="20"/>
          <w:lang w:val="es-MX"/>
        </w:rPr>
        <w:t>subsanación.</w:t>
      </w:r>
    </w:p>
    <w:p w14:paraId="4B88BA70" w14:textId="1DAF0CF6" w:rsidR="00795A64" w:rsidRDefault="00795A64">
      <w:pPr>
        <w:rPr>
          <w:rFonts w:ascii="Arial" w:eastAsia="Geomanist Light" w:hAnsi="Arial" w:cs="Arial"/>
          <w:color w:val="000000" w:themeColor="text1"/>
          <w:lang w:val="es-MX"/>
        </w:rPr>
      </w:pPr>
      <w:r>
        <w:rPr>
          <w:rFonts w:ascii="Arial" w:eastAsia="Geomanist Light" w:hAnsi="Arial" w:cs="Arial"/>
          <w:color w:val="000000" w:themeColor="text1"/>
          <w:lang w:val="es-MX"/>
        </w:rPr>
        <w:br w:type="page"/>
      </w:r>
    </w:p>
    <w:p w14:paraId="062F1ECA" w14:textId="76A54C0D" w:rsidR="006219F8" w:rsidRPr="00735279" w:rsidRDefault="00795A64" w:rsidP="6B8BD3AC">
      <w:pPr>
        <w:rPr>
          <w:rFonts w:ascii="Arial" w:eastAsia="Geomanist Light" w:hAnsi="Arial" w:cs="Arial"/>
          <w:color w:val="201F1E"/>
          <w:lang w:val="es-MX"/>
        </w:rPr>
      </w:pPr>
      <w:r w:rsidRPr="00795A64">
        <w:rPr>
          <w:rFonts w:ascii="Arial" w:hAnsi="Arial" w:cs="Arial"/>
          <w:noProof/>
          <w:color w:val="000000" w:themeColor="text1"/>
          <w:lang w:val="es-MX"/>
        </w:rPr>
        <w:lastRenderedPageBreak/>
        <w:drawing>
          <wp:anchor distT="0" distB="0" distL="114300" distR="114300" simplePos="0" relativeHeight="251661824" behindDoc="1" locked="0" layoutInCell="1" allowOverlap="1" wp14:anchorId="52F22F2B" wp14:editId="3E637CB8">
            <wp:simplePos x="0" y="0"/>
            <wp:positionH relativeFrom="margin">
              <wp:align>right</wp:align>
            </wp:positionH>
            <wp:positionV relativeFrom="paragraph">
              <wp:posOffset>8939</wp:posOffset>
            </wp:positionV>
            <wp:extent cx="2476627" cy="730288"/>
            <wp:effectExtent l="0" t="0" r="0" b="0"/>
            <wp:wrapNone/>
            <wp:docPr id="121081260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812606" name="Imagen 1"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76627" cy="730288"/>
                    </a:xfrm>
                    <a:prstGeom prst="rect">
                      <a:avLst/>
                    </a:prstGeom>
                  </pic:spPr>
                </pic:pic>
              </a:graphicData>
            </a:graphic>
          </wp:anchor>
        </w:drawing>
      </w:r>
      <w:r w:rsidR="1CC63BF5" w:rsidRPr="00735279">
        <w:rPr>
          <w:rFonts w:ascii="Arial" w:eastAsia="Geomanist Light" w:hAnsi="Arial" w:cs="Arial"/>
          <w:color w:val="000000" w:themeColor="text1"/>
          <w:lang w:val="es-MX"/>
        </w:rPr>
        <w:t>Bogotá D.C.,</w:t>
      </w:r>
      <w:r>
        <w:rPr>
          <w:rFonts w:ascii="Arial" w:eastAsia="Geomanist Light" w:hAnsi="Arial" w:cs="Arial"/>
          <w:color w:val="000000" w:themeColor="text1"/>
          <w:lang w:val="es-MX"/>
        </w:rPr>
        <w:t>06 de Junio de 2023</w:t>
      </w:r>
    </w:p>
    <w:p w14:paraId="15563806" w14:textId="12E1AC8D" w:rsidR="006219F8" w:rsidRPr="00795A64" w:rsidRDefault="006219F8" w:rsidP="00526E9D">
      <w:pPr>
        <w:rPr>
          <w:rFonts w:ascii="Arial" w:hAnsi="Arial" w:cs="Arial"/>
          <w:color w:val="000000" w:themeColor="text1"/>
          <w:lang w:val="es-MX"/>
        </w:rPr>
      </w:pPr>
    </w:p>
    <w:p w14:paraId="78F9283B" w14:textId="529340A8" w:rsidR="00FE5775" w:rsidRPr="00407259" w:rsidRDefault="000105CA" w:rsidP="00FE5775">
      <w:pPr>
        <w:spacing w:after="0" w:line="240" w:lineRule="auto"/>
        <w:contextualSpacing/>
        <w:rPr>
          <w:rFonts w:ascii="Arial" w:eastAsia="Calibri" w:hAnsi="Arial" w:cs="Arial"/>
          <w:lang w:eastAsia="es-MX"/>
        </w:rPr>
      </w:pPr>
      <w:r>
        <w:rPr>
          <w:rFonts w:ascii="Arial" w:eastAsia="Calibri" w:hAnsi="Arial" w:cs="Arial"/>
          <w:lang w:eastAsia="es-MX"/>
        </w:rPr>
        <w:t>XXXXX</w:t>
      </w:r>
    </w:p>
    <w:p w14:paraId="09896303" w14:textId="77777777" w:rsidR="00FE5775" w:rsidRPr="00407259" w:rsidRDefault="00FE5775" w:rsidP="00FE5775">
      <w:pPr>
        <w:spacing w:after="0" w:line="240" w:lineRule="auto"/>
        <w:contextualSpacing/>
        <w:rPr>
          <w:rFonts w:ascii="Arial" w:eastAsia="Calibri" w:hAnsi="Arial" w:cs="Arial"/>
          <w:lang w:eastAsia="es-MX"/>
        </w:rPr>
      </w:pPr>
    </w:p>
    <w:p w14:paraId="76A81C10" w14:textId="499EF400" w:rsidR="00FE5775" w:rsidRPr="00407259" w:rsidRDefault="00FE5775" w:rsidP="005D1F8D">
      <w:pPr>
        <w:spacing w:after="0" w:line="240" w:lineRule="auto"/>
        <w:ind w:left="2124" w:firstLine="708"/>
        <w:contextualSpacing/>
        <w:rPr>
          <w:rFonts w:ascii="Arial" w:eastAsia="Calibri" w:hAnsi="Arial" w:cs="Arial"/>
          <w:b/>
          <w:lang w:eastAsia="es-MX"/>
        </w:rPr>
      </w:pPr>
      <w:r w:rsidRPr="00CB0E30">
        <w:rPr>
          <w:rFonts w:ascii="Arial" w:eastAsia="Calibri" w:hAnsi="Arial" w:cs="Arial"/>
          <w:b/>
          <w:lang w:eastAsia="es-MX"/>
        </w:rPr>
        <w:t>Concepto C–</w:t>
      </w:r>
      <w:r w:rsidR="00CB0E30" w:rsidRPr="00CB0E30">
        <w:rPr>
          <w:rFonts w:ascii="Arial" w:eastAsia="Calibri" w:hAnsi="Arial" w:cs="Arial"/>
          <w:b/>
          <w:lang w:eastAsia="es-MX"/>
        </w:rPr>
        <w:t>280</w:t>
      </w:r>
      <w:r w:rsidRPr="00CB0E30">
        <w:rPr>
          <w:rFonts w:ascii="Arial" w:eastAsia="Calibri" w:hAnsi="Arial" w:cs="Arial"/>
          <w:b/>
          <w:lang w:eastAsia="es-MX"/>
        </w:rPr>
        <w:t xml:space="preserve"> de 2023</w:t>
      </w:r>
    </w:p>
    <w:p w14:paraId="2A4997F0" w14:textId="77777777" w:rsidR="00FE5775" w:rsidRPr="00407259" w:rsidRDefault="00FE5775" w:rsidP="00FE5775">
      <w:pPr>
        <w:spacing w:after="0" w:line="240" w:lineRule="auto"/>
        <w:contextualSpacing/>
        <w:rPr>
          <w:rFonts w:ascii="Arial" w:eastAsia="Calibri" w:hAnsi="Arial" w:cs="Arial"/>
          <w:lang w:eastAsia="es-MX"/>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516"/>
      </w:tblGrid>
      <w:tr w:rsidR="00FE5775" w:rsidRPr="00407259" w14:paraId="0E15C97B" w14:textId="77777777" w:rsidTr="00415AC1">
        <w:tc>
          <w:tcPr>
            <w:tcW w:w="2410" w:type="dxa"/>
            <w:hideMark/>
          </w:tcPr>
          <w:p w14:paraId="64568B0E" w14:textId="77777777" w:rsidR="00FE5775" w:rsidRPr="00407259" w:rsidRDefault="00FE5775" w:rsidP="00415AC1">
            <w:pPr>
              <w:contextualSpacing/>
              <w:rPr>
                <w:rFonts w:ascii="Arial" w:eastAsia="Calibri" w:hAnsi="Arial" w:cs="Arial"/>
                <w:lang w:eastAsia="es-MX"/>
              </w:rPr>
            </w:pPr>
            <w:r w:rsidRPr="00407259">
              <w:rPr>
                <w:rFonts w:ascii="Arial" w:eastAsia="Calibri" w:hAnsi="Arial" w:cs="Arial"/>
                <w:b/>
                <w:lang w:eastAsia="es-MX"/>
              </w:rPr>
              <w:t>Temas:</w:t>
            </w:r>
            <w:r w:rsidRPr="00407259">
              <w:rPr>
                <w:rFonts w:ascii="Arial" w:eastAsia="Calibri" w:hAnsi="Arial" w:cs="Arial"/>
                <w:lang w:eastAsia="es-MX"/>
              </w:rPr>
              <w:t xml:space="preserve"> </w:t>
            </w:r>
          </w:p>
        </w:tc>
        <w:tc>
          <w:tcPr>
            <w:tcW w:w="6516" w:type="dxa"/>
            <w:hideMark/>
          </w:tcPr>
          <w:p w14:paraId="6721931E" w14:textId="2D1768E8" w:rsidR="00FE5775" w:rsidRPr="00407259" w:rsidRDefault="00FE5775" w:rsidP="00415AC1">
            <w:pPr>
              <w:tabs>
                <w:tab w:val="left" w:pos="0"/>
              </w:tabs>
              <w:ind w:left="11"/>
              <w:jc w:val="both"/>
              <w:rPr>
                <w:rFonts w:ascii="Arial" w:hAnsi="Arial" w:cs="Arial"/>
                <w:bCs/>
                <w:color w:val="000000" w:themeColor="text1"/>
                <w:highlight w:val="yellow"/>
                <w:lang w:val="es-ES"/>
              </w:rPr>
            </w:pPr>
            <w:r w:rsidRPr="00407259">
              <w:rPr>
                <w:rFonts w:ascii="Arial" w:hAnsi="Arial" w:cs="Arial"/>
                <w:color w:val="000000"/>
              </w:rPr>
              <w:t>DOCUMENTOS TIPO – Fundamento normativo</w:t>
            </w:r>
            <w:r w:rsidR="004B34FF">
              <w:rPr>
                <w:rFonts w:ascii="Arial" w:hAnsi="Arial" w:cs="Arial"/>
                <w:color w:val="000000"/>
              </w:rPr>
              <w:t xml:space="preserve">/ </w:t>
            </w:r>
            <w:r w:rsidRPr="00407259">
              <w:rPr>
                <w:rFonts w:ascii="Arial" w:eastAsia="Calibri" w:hAnsi="Arial" w:cs="Arial"/>
              </w:rPr>
              <w:t xml:space="preserve">CAPACIDAD RESIDUAL – Documentos tipo – Experiencia / CAPACIDAD RESIDUAL – Documentos tipo − </w:t>
            </w:r>
            <w:r w:rsidRPr="00407259">
              <w:rPr>
                <w:rFonts w:ascii="Arial" w:eastAsia="Calibri" w:hAnsi="Arial" w:cs="Arial"/>
                <w:color w:val="000000"/>
                <w:lang w:eastAsia="en-GB"/>
              </w:rPr>
              <w:t>Causales de rechazo de la oferta – Licitación Pública</w:t>
            </w:r>
            <w:r w:rsidR="003C7A24">
              <w:rPr>
                <w:rFonts w:ascii="Arial" w:eastAsia="Calibri" w:hAnsi="Arial" w:cs="Arial"/>
                <w:color w:val="000000"/>
                <w:lang w:eastAsia="en-GB"/>
              </w:rPr>
              <w:t xml:space="preserve"> / </w:t>
            </w:r>
            <w:r w:rsidR="003C7A24" w:rsidRPr="003355EC">
              <w:rPr>
                <w:rFonts w:ascii="Arial" w:eastAsia="Calibri" w:hAnsi="Arial" w:cs="Arial"/>
                <w:lang w:val="es-ES_tradnl"/>
              </w:rPr>
              <w:t xml:space="preserve">CAPACIDAD RESIDUAL – Deber de reportar la totalidad de contratos – Cargas – Proponente / </w:t>
            </w:r>
            <w:r w:rsidR="003C7A24" w:rsidRPr="003355EC">
              <w:rPr>
                <w:rFonts w:ascii="Arial" w:hAnsi="Arial" w:cs="Arial"/>
              </w:rPr>
              <w:t>CAPACIDAD RESIDUAL- Requisito Habilitante – Subsana</w:t>
            </w:r>
            <w:r w:rsidR="000836CA">
              <w:rPr>
                <w:rFonts w:ascii="Arial" w:hAnsi="Arial" w:cs="Arial"/>
              </w:rPr>
              <w:t>ción</w:t>
            </w:r>
            <w:r w:rsidR="003C7A24" w:rsidRPr="003355EC">
              <w:rPr>
                <w:rFonts w:ascii="Arial" w:hAnsi="Arial" w:cs="Arial"/>
              </w:rPr>
              <w:t xml:space="preserve"> – Aclaración</w:t>
            </w:r>
          </w:p>
        </w:tc>
      </w:tr>
      <w:tr w:rsidR="00FE5775" w:rsidRPr="00407259" w14:paraId="61F7A6B4" w14:textId="77777777" w:rsidTr="00415AC1">
        <w:tc>
          <w:tcPr>
            <w:tcW w:w="2410" w:type="dxa"/>
          </w:tcPr>
          <w:p w14:paraId="74DF3684" w14:textId="77777777" w:rsidR="00FE5775" w:rsidRPr="00407259" w:rsidRDefault="00FE5775" w:rsidP="00415AC1">
            <w:pPr>
              <w:contextualSpacing/>
              <w:rPr>
                <w:rFonts w:ascii="Arial" w:eastAsia="Calibri" w:hAnsi="Arial" w:cs="Arial"/>
                <w:b/>
                <w:bCs/>
                <w:lang w:eastAsia="es-MX"/>
              </w:rPr>
            </w:pPr>
          </w:p>
          <w:p w14:paraId="323B670E" w14:textId="77777777" w:rsidR="00FE5775" w:rsidRPr="00407259" w:rsidRDefault="00FE5775" w:rsidP="00415AC1">
            <w:pPr>
              <w:contextualSpacing/>
              <w:rPr>
                <w:rFonts w:ascii="Arial" w:eastAsia="Calibri" w:hAnsi="Arial" w:cs="Arial"/>
                <w:b/>
                <w:bCs/>
                <w:lang w:eastAsia="es-MX"/>
              </w:rPr>
            </w:pPr>
            <w:r w:rsidRPr="00407259">
              <w:rPr>
                <w:rFonts w:ascii="Arial" w:eastAsia="Calibri" w:hAnsi="Arial" w:cs="Arial"/>
                <w:b/>
                <w:bCs/>
                <w:lang w:eastAsia="es-MX"/>
              </w:rPr>
              <w:t>Radicación:</w:t>
            </w:r>
          </w:p>
        </w:tc>
        <w:tc>
          <w:tcPr>
            <w:tcW w:w="6516" w:type="dxa"/>
          </w:tcPr>
          <w:p w14:paraId="2BED5CBA" w14:textId="77777777" w:rsidR="00FE5775" w:rsidRPr="00407259" w:rsidRDefault="00FE5775" w:rsidP="00415AC1">
            <w:pPr>
              <w:contextualSpacing/>
              <w:jc w:val="both"/>
              <w:rPr>
                <w:rFonts w:ascii="Arial" w:eastAsia="Calibri" w:hAnsi="Arial" w:cs="Arial"/>
                <w:lang w:eastAsia="es-MX"/>
              </w:rPr>
            </w:pPr>
          </w:p>
          <w:p w14:paraId="4C0B20D7" w14:textId="7FB8A51B" w:rsidR="00FE5775" w:rsidRPr="00407259" w:rsidRDefault="00FE5775" w:rsidP="00415AC1">
            <w:pPr>
              <w:contextualSpacing/>
              <w:jc w:val="both"/>
              <w:rPr>
                <w:rFonts w:ascii="Arial" w:eastAsia="Calibri" w:hAnsi="Arial" w:cs="Arial"/>
                <w:lang w:eastAsia="es-MX"/>
              </w:rPr>
            </w:pPr>
            <w:r w:rsidRPr="00407259">
              <w:rPr>
                <w:rFonts w:ascii="Arial" w:eastAsia="Calibri" w:hAnsi="Arial" w:cs="Arial"/>
                <w:lang w:eastAsia="es-MX"/>
              </w:rPr>
              <w:t>Respuesta a consulta</w:t>
            </w:r>
            <w:r w:rsidR="0066592B">
              <w:rPr>
                <w:rFonts w:ascii="Arial" w:eastAsia="Calibri" w:hAnsi="Arial" w:cs="Arial"/>
                <w:lang w:eastAsia="es-MX"/>
              </w:rPr>
              <w:t xml:space="preserve"> No. </w:t>
            </w:r>
            <w:r w:rsidRPr="00407259">
              <w:rPr>
                <w:rFonts w:ascii="Arial" w:eastAsia="Calibri" w:hAnsi="Arial" w:cs="Arial"/>
                <w:lang w:eastAsia="es-MX"/>
              </w:rPr>
              <w:t>P20230</w:t>
            </w:r>
            <w:r w:rsidR="004C65F7">
              <w:rPr>
                <w:rFonts w:ascii="Arial" w:eastAsia="Calibri" w:hAnsi="Arial" w:cs="Arial"/>
                <w:lang w:eastAsia="es-MX"/>
              </w:rPr>
              <w:t>424003596</w:t>
            </w:r>
          </w:p>
        </w:tc>
      </w:tr>
    </w:tbl>
    <w:p w14:paraId="74C335FB" w14:textId="77777777" w:rsidR="00FE5775" w:rsidRPr="00407259" w:rsidRDefault="00FE5775" w:rsidP="00FE5775">
      <w:pPr>
        <w:spacing w:after="0" w:line="276" w:lineRule="auto"/>
        <w:contextualSpacing/>
        <w:rPr>
          <w:rFonts w:ascii="Arial" w:eastAsia="Calibri" w:hAnsi="Arial" w:cs="Arial"/>
          <w:lang w:eastAsia="es-MX"/>
        </w:rPr>
      </w:pPr>
    </w:p>
    <w:p w14:paraId="7FFAE247" w14:textId="4F59FDB1" w:rsidR="00FE5775" w:rsidRPr="00407259" w:rsidRDefault="00FE5775" w:rsidP="00FE5775">
      <w:pPr>
        <w:spacing w:after="0" w:line="276" w:lineRule="auto"/>
        <w:contextualSpacing/>
        <w:rPr>
          <w:rFonts w:ascii="Arial" w:eastAsia="Calibri" w:hAnsi="Arial" w:cs="Arial"/>
          <w:lang w:eastAsia="es-MX"/>
        </w:rPr>
      </w:pPr>
      <w:r w:rsidRPr="00407259">
        <w:rPr>
          <w:rFonts w:ascii="Arial" w:eastAsia="Calibri" w:hAnsi="Arial" w:cs="Arial"/>
          <w:lang w:eastAsia="es-MX"/>
        </w:rPr>
        <w:t xml:space="preserve">Estimado </w:t>
      </w:r>
      <w:r w:rsidR="00382128">
        <w:rPr>
          <w:rFonts w:ascii="Arial" w:eastAsia="Calibri" w:hAnsi="Arial" w:cs="Arial"/>
          <w:lang w:eastAsia="es-MX"/>
        </w:rPr>
        <w:t>xxxxx</w:t>
      </w:r>
      <w:r w:rsidRPr="00407259">
        <w:rPr>
          <w:rFonts w:ascii="Arial" w:hAnsi="Arial" w:cs="Arial"/>
        </w:rPr>
        <w:t>:</w:t>
      </w:r>
    </w:p>
    <w:p w14:paraId="56C7C6FC" w14:textId="77777777" w:rsidR="00FE5775" w:rsidRPr="00407259" w:rsidRDefault="00FE5775" w:rsidP="00FE5775">
      <w:pPr>
        <w:spacing w:after="0" w:line="276" w:lineRule="auto"/>
        <w:contextualSpacing/>
        <w:rPr>
          <w:rFonts w:ascii="Arial" w:eastAsia="Calibri" w:hAnsi="Arial" w:cs="Arial"/>
          <w:lang w:eastAsia="es-MX"/>
        </w:rPr>
      </w:pPr>
    </w:p>
    <w:p w14:paraId="4929A1DD" w14:textId="33E113DD" w:rsidR="00FE5775" w:rsidRPr="00407259" w:rsidRDefault="00FE5775" w:rsidP="00FE5775">
      <w:pPr>
        <w:spacing w:after="0" w:line="276" w:lineRule="auto"/>
        <w:contextualSpacing/>
        <w:jc w:val="both"/>
        <w:rPr>
          <w:rFonts w:ascii="Arial" w:eastAsia="Calibri" w:hAnsi="Arial" w:cs="Arial"/>
          <w:lang w:eastAsia="es-MX"/>
        </w:rPr>
      </w:pPr>
      <w:r w:rsidRPr="00407259">
        <w:rPr>
          <w:rFonts w:ascii="Arial" w:eastAsia="Calibri" w:hAnsi="Arial" w:cs="Arial"/>
          <w:lang w:eastAsia="es-MX"/>
        </w:rPr>
        <w:t>En ejercicio de la competencia otorgada por el numeral 8 del artículo 11 y el numeral 5 del artículo 3 del Decreto Ley 4170 de 2011, la Agencia Nacional de Contratación Pública – Colombia Compra Eficiente responde sus consultas del 2</w:t>
      </w:r>
      <w:r w:rsidR="00127BD4">
        <w:rPr>
          <w:rFonts w:ascii="Arial" w:eastAsia="Calibri" w:hAnsi="Arial" w:cs="Arial"/>
          <w:lang w:eastAsia="es-MX"/>
        </w:rPr>
        <w:t>5</w:t>
      </w:r>
      <w:r w:rsidRPr="00407259">
        <w:rPr>
          <w:rFonts w:ascii="Arial" w:eastAsia="Calibri" w:hAnsi="Arial" w:cs="Arial"/>
          <w:lang w:eastAsia="es-MX"/>
        </w:rPr>
        <w:t xml:space="preserve"> de </w:t>
      </w:r>
      <w:r w:rsidR="00127BD4">
        <w:rPr>
          <w:rFonts w:ascii="Arial" w:eastAsia="Calibri" w:hAnsi="Arial" w:cs="Arial"/>
          <w:lang w:eastAsia="es-MX"/>
        </w:rPr>
        <w:t>abril</w:t>
      </w:r>
      <w:r w:rsidRPr="00407259">
        <w:rPr>
          <w:rFonts w:ascii="Arial" w:eastAsia="Calibri" w:hAnsi="Arial" w:cs="Arial"/>
          <w:lang w:eastAsia="es-MX"/>
        </w:rPr>
        <w:t xml:space="preserve"> de 2023.</w:t>
      </w:r>
    </w:p>
    <w:p w14:paraId="5D337FD6" w14:textId="77777777" w:rsidR="00FE5775" w:rsidRPr="00407259" w:rsidRDefault="00FE5775" w:rsidP="00FE5775">
      <w:pPr>
        <w:spacing w:after="0" w:line="276" w:lineRule="auto"/>
        <w:contextualSpacing/>
        <w:jc w:val="both"/>
        <w:rPr>
          <w:rFonts w:ascii="Arial" w:eastAsia="Calibri" w:hAnsi="Arial" w:cs="Arial"/>
          <w:lang w:eastAsia="es-MX"/>
        </w:rPr>
      </w:pPr>
    </w:p>
    <w:p w14:paraId="1BBC2BCE" w14:textId="77777777" w:rsidR="00FE5775" w:rsidRPr="00407259" w:rsidRDefault="00FE5775" w:rsidP="00FE5775">
      <w:pPr>
        <w:numPr>
          <w:ilvl w:val="0"/>
          <w:numId w:val="4"/>
        </w:numPr>
        <w:tabs>
          <w:tab w:val="left" w:pos="284"/>
        </w:tabs>
        <w:spacing w:after="0" w:line="276" w:lineRule="auto"/>
        <w:ind w:left="360"/>
        <w:contextualSpacing/>
        <w:jc w:val="both"/>
        <w:rPr>
          <w:rFonts w:ascii="Arial" w:eastAsia="Calibri" w:hAnsi="Arial" w:cs="Arial"/>
          <w:b/>
          <w:lang w:eastAsia="es-MX"/>
        </w:rPr>
      </w:pPr>
      <w:r w:rsidRPr="00407259">
        <w:rPr>
          <w:rFonts w:ascii="Arial" w:eastAsia="Calibri" w:hAnsi="Arial" w:cs="Arial"/>
          <w:b/>
          <w:lang w:eastAsia="es-MX"/>
        </w:rPr>
        <w:t>Problema planteado</w:t>
      </w:r>
      <w:bookmarkStart w:id="0" w:name="_Hlk68679800"/>
    </w:p>
    <w:p w14:paraId="1CE9495E" w14:textId="77777777" w:rsidR="00FE5775" w:rsidRPr="00407259" w:rsidRDefault="00FE5775" w:rsidP="00FE5775">
      <w:pPr>
        <w:tabs>
          <w:tab w:val="left" w:pos="284"/>
        </w:tabs>
        <w:spacing w:after="0" w:line="276" w:lineRule="auto"/>
        <w:ind w:left="720"/>
        <w:contextualSpacing/>
        <w:jc w:val="both"/>
        <w:rPr>
          <w:rFonts w:ascii="Arial" w:eastAsia="Calibri" w:hAnsi="Arial" w:cs="Arial"/>
          <w:b/>
          <w:lang w:eastAsia="es-MX"/>
        </w:rPr>
      </w:pPr>
    </w:p>
    <w:p w14:paraId="3CB05239" w14:textId="6F4E0845" w:rsidR="00FE5775" w:rsidRPr="00407259" w:rsidRDefault="00FE5775" w:rsidP="00FE5775">
      <w:pPr>
        <w:spacing w:after="0" w:line="276" w:lineRule="auto"/>
        <w:contextualSpacing/>
        <w:jc w:val="both"/>
        <w:rPr>
          <w:rFonts w:ascii="Arial" w:eastAsia="Calibri" w:hAnsi="Arial" w:cs="Arial"/>
          <w:lang w:eastAsia="es-MX"/>
        </w:rPr>
      </w:pPr>
      <w:r w:rsidRPr="00407259">
        <w:rPr>
          <w:rFonts w:ascii="Arial" w:eastAsia="Calibri" w:hAnsi="Arial" w:cs="Arial"/>
          <w:lang w:eastAsia="es-MX"/>
        </w:rPr>
        <w:t xml:space="preserve">En relación con los documentos tipo expedidos por esta Agencia, usted realiza la siguiente </w:t>
      </w:r>
      <w:r w:rsidR="00DC204C">
        <w:rPr>
          <w:rFonts w:ascii="Arial" w:eastAsia="Calibri" w:hAnsi="Arial" w:cs="Arial"/>
          <w:lang w:eastAsia="es-MX"/>
        </w:rPr>
        <w:t>consulta</w:t>
      </w:r>
      <w:r w:rsidRPr="00407259">
        <w:rPr>
          <w:rFonts w:ascii="Arial" w:eastAsia="Calibri" w:hAnsi="Arial" w:cs="Arial"/>
          <w:lang w:eastAsia="es-MX"/>
        </w:rPr>
        <w:t xml:space="preserve">: </w:t>
      </w:r>
    </w:p>
    <w:p w14:paraId="534F1B97" w14:textId="77777777" w:rsidR="00FE5775" w:rsidRPr="00407259" w:rsidRDefault="00FE5775" w:rsidP="00FE5775">
      <w:pPr>
        <w:spacing w:after="0" w:line="240" w:lineRule="auto"/>
        <w:ind w:left="709" w:right="709"/>
        <w:contextualSpacing/>
        <w:jc w:val="both"/>
        <w:rPr>
          <w:rFonts w:ascii="Arial" w:hAnsi="Arial" w:cs="Arial"/>
          <w:sz w:val="21"/>
          <w:szCs w:val="21"/>
        </w:rPr>
      </w:pPr>
    </w:p>
    <w:p w14:paraId="144C225B" w14:textId="6FDD9D48" w:rsidR="00B140BA" w:rsidRPr="007F1C7A" w:rsidRDefault="00FE5775" w:rsidP="007F1C7A">
      <w:pPr>
        <w:spacing w:line="240" w:lineRule="auto"/>
        <w:ind w:left="709" w:right="709"/>
        <w:jc w:val="both"/>
        <w:rPr>
          <w:rFonts w:ascii="Arial" w:hAnsi="Arial" w:cs="Arial"/>
          <w:sz w:val="21"/>
          <w:szCs w:val="21"/>
        </w:rPr>
      </w:pPr>
      <w:r w:rsidRPr="007F1C7A">
        <w:rPr>
          <w:rFonts w:ascii="Arial" w:hAnsi="Arial" w:cs="Arial"/>
          <w:sz w:val="21"/>
          <w:szCs w:val="21"/>
        </w:rPr>
        <w:t>“</w:t>
      </w:r>
      <w:bookmarkEnd w:id="0"/>
      <w:r w:rsidR="00B140BA" w:rsidRPr="007F1C7A">
        <w:rPr>
          <w:rFonts w:ascii="Arial" w:hAnsi="Arial" w:cs="Arial"/>
          <w:sz w:val="21"/>
          <w:szCs w:val="21"/>
        </w:rPr>
        <w:t>Es claro que la causal de rechazo Y. No informar todos los contratos que el Proponente tenga en ejecución antes del cierre, necesarios para acreditar su capacidad residual conforme con la sección 3.10.  Nos especifica que cuando se informe un número de inferior de contratos en ejecución en el Formato 5 - Capacidad Residual , se debe rechazar la propuesta y la ustedes han aclarados en diferentes conceptos que esto no es sensible objeto a subsanación, sin embargo solicitó aclarar si: ¿la omisión en la entrega con la propuesta del Formato 5 donde se relaciones los contratos en ejecución o se certifique que no se tiene, es suficiente para que las entidades rechacen una propuesta argumentando que no se informó en la propuesta los contratos en ejecución y están inmersos en la causal de rechazo, o por el contrario se debe solicitar se subsane la entrega del Formato 5 de saldos de contratos en ejecución ?</w:t>
      </w:r>
      <w:r w:rsidR="007F1C7A" w:rsidRPr="007F1C7A">
        <w:rPr>
          <w:rFonts w:ascii="Arial" w:hAnsi="Arial" w:cs="Arial"/>
          <w:sz w:val="21"/>
          <w:szCs w:val="21"/>
        </w:rPr>
        <w:t>” (Sic).</w:t>
      </w:r>
    </w:p>
    <w:p w14:paraId="539B0F3D" w14:textId="77777777" w:rsidR="00FE5775" w:rsidRPr="00407259" w:rsidRDefault="00FE5775" w:rsidP="007F1C7A">
      <w:pPr>
        <w:numPr>
          <w:ilvl w:val="0"/>
          <w:numId w:val="4"/>
        </w:numPr>
        <w:spacing w:after="0" w:line="240" w:lineRule="auto"/>
        <w:ind w:left="360"/>
        <w:jc w:val="both"/>
        <w:rPr>
          <w:rFonts w:ascii="Arial" w:eastAsia="Calibri" w:hAnsi="Arial" w:cs="Arial"/>
          <w:b/>
          <w:lang w:eastAsia="es-MX"/>
        </w:rPr>
      </w:pPr>
      <w:r w:rsidRPr="00407259">
        <w:rPr>
          <w:rFonts w:ascii="Arial" w:eastAsia="Calibri" w:hAnsi="Arial" w:cs="Arial"/>
          <w:b/>
          <w:lang w:eastAsia="es-MX"/>
        </w:rPr>
        <w:t>Consideraciones</w:t>
      </w:r>
    </w:p>
    <w:p w14:paraId="7EA471D2" w14:textId="77777777" w:rsidR="00FE5775" w:rsidRPr="00407259" w:rsidRDefault="00FE5775" w:rsidP="00FE5775">
      <w:pPr>
        <w:spacing w:after="0" w:line="276" w:lineRule="auto"/>
        <w:contextualSpacing/>
        <w:jc w:val="both"/>
        <w:rPr>
          <w:rFonts w:ascii="Arial" w:eastAsia="Calibri" w:hAnsi="Arial" w:cs="Arial"/>
          <w:b/>
          <w:lang w:eastAsia="es-MX"/>
        </w:rPr>
      </w:pPr>
    </w:p>
    <w:p w14:paraId="24BA3E33" w14:textId="77777777" w:rsidR="00A86DD2" w:rsidRPr="000547C2" w:rsidRDefault="00A86DD2" w:rsidP="00A86DD2">
      <w:pPr>
        <w:spacing w:line="276" w:lineRule="auto"/>
        <w:jc w:val="both"/>
        <w:rPr>
          <w:rFonts w:ascii="Arial" w:hAnsi="Arial" w:cs="Arial"/>
          <w:lang w:val="es-ES"/>
        </w:rPr>
      </w:pPr>
      <w:r w:rsidRPr="000547C2">
        <w:rPr>
          <w:rFonts w:ascii="Arial" w:hAnsi="Arial" w:cs="Arial"/>
          <w:bCs/>
        </w:rPr>
        <w:t xml:space="preserve">La Agencia Nacional de Contratación Pública – Colombia Compra Eficiente resuelve consultas sobre </w:t>
      </w:r>
      <w:r w:rsidRPr="000547C2">
        <w:rPr>
          <w:rFonts w:ascii="Arial" w:hAnsi="Arial" w:cs="Arial"/>
          <w:lang w:val="es-ES"/>
        </w:rPr>
        <w:t xml:space="preserve">la aplicación de normas de carácter general en materia de compras y contratación pública. </w:t>
      </w:r>
      <w:r w:rsidRPr="000547C2">
        <w:rPr>
          <w:rFonts w:ascii="Arial" w:hAnsi="Arial" w:cs="Arial"/>
          <w:lang w:val="es-ES"/>
        </w:rPr>
        <w:lastRenderedPageBreak/>
        <w:t>En ese sentido, resolver casos particulares o conceptuar sobre el alcance de normas ajenas a la contratación estatal desborda las atribuciones asignadas por el legislador extraordinario, que no concibió a Colombia Compra Eficiente como una autoridad para solucionar problemas jurídicos particulares</w:t>
      </w:r>
      <w:r w:rsidRPr="000547C2">
        <w:rPr>
          <w:rFonts w:ascii="Arial" w:hAnsi="Arial" w:cs="Arial"/>
          <w:bCs/>
        </w:rPr>
        <w:t xml:space="preserve"> de todos los partícipes de la contratación estatal ni para interpretar el alcance de cualquier norma vigente en el ordenamiento jurídico.</w:t>
      </w:r>
    </w:p>
    <w:p w14:paraId="17F0FF46" w14:textId="77777777" w:rsidR="00A86DD2" w:rsidRPr="000547C2" w:rsidRDefault="00A86DD2" w:rsidP="00A86DD2">
      <w:pPr>
        <w:spacing w:after="120" w:line="276" w:lineRule="auto"/>
        <w:ind w:firstLine="708"/>
        <w:jc w:val="both"/>
        <w:rPr>
          <w:rFonts w:ascii="Arial" w:hAnsi="Arial" w:cs="Arial"/>
          <w:lang w:val="es-ES"/>
        </w:rPr>
      </w:pPr>
      <w:r w:rsidRPr="000547C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0547C2">
        <w:rPr>
          <w:rFonts w:ascii="Arial" w:hAnsi="Arial" w:cs="Arial"/>
          <w:vertAlign w:val="superscript"/>
          <w:lang w:val="es-ES"/>
        </w:rPr>
        <w:footnoteReference w:id="2"/>
      </w:r>
      <w:r w:rsidRPr="000547C2">
        <w:rPr>
          <w:rFonts w:ascii="Arial" w:hAnsi="Arial" w:cs="Arial"/>
          <w:lang w:val="es-ES"/>
        </w:rPr>
        <w:t xml:space="preserve">. Esta competencia de interpretación de normas generales, por definición, no puede extenderse a la resolución de controversias, brindar asesorías sobre casos puntuales ni interpretar normas ajenas al sistema de compras públicas. </w:t>
      </w:r>
    </w:p>
    <w:p w14:paraId="66D53472" w14:textId="62CD5ABC" w:rsidR="00704651" w:rsidRPr="00407259" w:rsidRDefault="00A86DD2" w:rsidP="00A86DD2">
      <w:pPr>
        <w:tabs>
          <w:tab w:val="left" w:pos="426"/>
        </w:tabs>
        <w:spacing w:after="120" w:line="276" w:lineRule="auto"/>
        <w:jc w:val="both"/>
        <w:rPr>
          <w:rFonts w:ascii="Arial" w:eastAsia="Times New Roman" w:hAnsi="Arial" w:cs="Arial"/>
          <w:b/>
          <w:bCs/>
          <w:lang w:eastAsia="es-CO"/>
        </w:rPr>
      </w:pPr>
      <w:r>
        <w:rPr>
          <w:rFonts w:ascii="Arial" w:hAnsi="Arial" w:cs="Arial"/>
          <w:lang w:val="es-ES"/>
        </w:rPr>
        <w:tab/>
      </w:r>
      <w:r>
        <w:rPr>
          <w:rFonts w:ascii="Arial" w:hAnsi="Arial" w:cs="Arial"/>
          <w:lang w:val="es-ES"/>
        </w:rPr>
        <w:tab/>
      </w:r>
      <w:r w:rsidRPr="000547C2">
        <w:rPr>
          <w:rFonts w:ascii="Arial" w:hAnsi="Arial" w:cs="Arial"/>
          <w:lang w:val="es-ES"/>
        </w:rPr>
        <w:t>En este contexto, l</w:t>
      </w:r>
      <w:r w:rsidRPr="000547C2">
        <w:rPr>
          <w:rFonts w:ascii="Arial" w:eastAsia="Calibri" w:hAnsi="Arial" w:cs="Arial"/>
          <w:color w:val="000000" w:themeColor="text1"/>
          <w:lang w:val="es-ES"/>
        </w:rPr>
        <w:t xml:space="preserve">a </w:t>
      </w:r>
      <w:r w:rsidRPr="000547C2">
        <w:rPr>
          <w:rFonts w:ascii="Arial" w:eastAsia="Calibri" w:hAnsi="Arial" w:cs="Arial"/>
          <w:color w:val="000000" w:themeColor="text1"/>
          <w:lang w:val="es-ES_tradnl"/>
        </w:rPr>
        <w:t xml:space="preserve">Agencia Nacional de Contratación Pública – Colombia Compra Eficiente, </w:t>
      </w:r>
      <w:r w:rsidRPr="000547C2">
        <w:rPr>
          <w:rFonts w:ascii="Arial" w:eastAsia="Calibri" w:hAnsi="Arial" w:cs="Arial"/>
          <w:color w:val="000000" w:themeColor="text1"/>
          <w:lang w:val="es-ES"/>
        </w:rPr>
        <w:t>dentro de los límites de sus atribuciones,</w:t>
      </w:r>
      <w:r>
        <w:rPr>
          <w:rFonts w:ascii="Arial" w:eastAsia="Calibri" w:hAnsi="Arial" w:cs="Arial"/>
          <w:lang w:val="es-ES" w:eastAsia="es-ES_tradnl"/>
        </w:rPr>
        <w:t xml:space="preserve"> esto es, haciendo abstracción al caso particular expuesto, </w:t>
      </w:r>
      <w:r w:rsidRPr="00EF69F0">
        <w:rPr>
          <w:rFonts w:ascii="Arial" w:eastAsia="Calibri" w:hAnsi="Arial" w:cs="Arial"/>
          <w:color w:val="000000"/>
          <w:lang w:val="es-ES" w:eastAsia="es-ES_tradnl"/>
        </w:rPr>
        <w:t>resolverá la consulta conforme a las normas generales en materia de contratación estatal. Con este objetivo se analizarán los siguientes temas</w:t>
      </w:r>
      <w:r w:rsidR="00FE5775" w:rsidRPr="005445B1">
        <w:rPr>
          <w:rFonts w:ascii="Arial" w:eastAsia="Times New Roman" w:hAnsi="Arial" w:cs="Arial"/>
          <w:szCs w:val="24"/>
          <w:lang w:val="es-ES_tradnl" w:eastAsia="es-ES_tradnl"/>
        </w:rPr>
        <w:t>: i) fundamento normativo de los documentos tipo adoptados hasta la actualidad; ii</w:t>
      </w:r>
      <w:r w:rsidR="00FE5775" w:rsidRPr="00407259">
        <w:rPr>
          <w:rFonts w:ascii="Arial" w:eastAsia="Times New Roman" w:hAnsi="Arial" w:cs="Arial"/>
          <w:szCs w:val="24"/>
          <w:lang w:val="es-ES_tradnl" w:eastAsia="es-ES_tradnl"/>
        </w:rPr>
        <w:t xml:space="preserve">) </w:t>
      </w:r>
      <w:r w:rsidR="00B2685D">
        <w:rPr>
          <w:rFonts w:ascii="Arial" w:eastAsia="Times New Roman" w:hAnsi="Arial" w:cs="Arial"/>
          <w:bCs/>
          <w:bdr w:val="none" w:sz="0" w:space="0" w:color="auto" w:frame="1"/>
          <w:lang w:eastAsia="es-CO"/>
        </w:rPr>
        <w:t>g</w:t>
      </w:r>
      <w:r w:rsidR="00FE5775" w:rsidRPr="00407259">
        <w:rPr>
          <w:rFonts w:ascii="Arial" w:eastAsia="Times New Roman" w:hAnsi="Arial" w:cs="Arial"/>
          <w:bCs/>
          <w:bdr w:val="none" w:sz="0" w:space="0" w:color="auto" w:frame="1"/>
          <w:lang w:eastAsia="es-CO"/>
        </w:rPr>
        <w:t xml:space="preserve">eneralidades de la Capacidad Residual o K de contratación como requisito habilitante; </w:t>
      </w:r>
      <w:r w:rsidR="00453CE5" w:rsidRPr="0081560D">
        <w:rPr>
          <w:rFonts w:ascii="Arial" w:eastAsia="Calibri" w:hAnsi="Arial" w:cs="Arial"/>
        </w:rPr>
        <w:t>i</w:t>
      </w:r>
      <w:r w:rsidR="00D64714">
        <w:rPr>
          <w:rFonts w:ascii="Arial" w:eastAsia="Calibri" w:hAnsi="Arial" w:cs="Arial"/>
        </w:rPr>
        <w:t>ii</w:t>
      </w:r>
      <w:r w:rsidR="00453CE5" w:rsidRPr="0081560D">
        <w:rPr>
          <w:rFonts w:ascii="Arial" w:eastAsia="Calibri" w:hAnsi="Arial" w:cs="Arial"/>
        </w:rPr>
        <w:t>) a</w:t>
      </w:r>
      <w:r w:rsidR="00453CE5" w:rsidRPr="0081560D">
        <w:rPr>
          <w:rFonts w:ascii="Arial" w:hAnsi="Arial" w:cs="Arial"/>
        </w:rPr>
        <w:t>nálisis frente al alcance de la regla de la subsanabilidad</w:t>
      </w:r>
      <w:r w:rsidR="002668B2">
        <w:rPr>
          <w:rFonts w:ascii="Arial" w:hAnsi="Arial" w:cs="Arial"/>
        </w:rPr>
        <w:t xml:space="preserve"> y</w:t>
      </w:r>
      <w:r w:rsidR="00453CE5" w:rsidRPr="0081560D">
        <w:rPr>
          <w:rFonts w:ascii="Arial" w:hAnsi="Arial" w:cs="Arial"/>
        </w:rPr>
        <w:t xml:space="preserve"> la figura de la aclaración de ofertas </w:t>
      </w:r>
      <w:r w:rsidR="00453CE5">
        <w:rPr>
          <w:rFonts w:ascii="Arial" w:hAnsi="Arial" w:cs="Arial"/>
        </w:rPr>
        <w:t>frente</w:t>
      </w:r>
      <w:r w:rsidR="00E96792">
        <w:rPr>
          <w:rFonts w:ascii="Arial" w:hAnsi="Arial" w:cs="Arial"/>
        </w:rPr>
        <w:t xml:space="preserve"> a</w:t>
      </w:r>
      <w:r w:rsidR="00453CE5" w:rsidRPr="0081560D">
        <w:rPr>
          <w:rFonts w:ascii="Arial" w:hAnsi="Arial" w:cs="Arial"/>
        </w:rPr>
        <w:t xml:space="preserve"> la Capacidad Residual; </w:t>
      </w:r>
      <w:r w:rsidR="00B2685D">
        <w:rPr>
          <w:rFonts w:ascii="Arial" w:hAnsi="Arial" w:cs="Arial"/>
        </w:rPr>
        <w:t>y</w:t>
      </w:r>
      <w:r w:rsidR="00A0584B">
        <w:rPr>
          <w:rFonts w:ascii="Arial" w:hAnsi="Arial" w:cs="Arial"/>
        </w:rPr>
        <w:t>,</w:t>
      </w:r>
      <w:r w:rsidR="00B2685D">
        <w:rPr>
          <w:rFonts w:ascii="Arial" w:hAnsi="Arial" w:cs="Arial"/>
        </w:rPr>
        <w:t xml:space="preserve"> </w:t>
      </w:r>
      <w:r w:rsidR="002668B2">
        <w:rPr>
          <w:rFonts w:ascii="Arial" w:hAnsi="Arial" w:cs="Arial"/>
        </w:rPr>
        <w:t>i</w:t>
      </w:r>
      <w:r w:rsidR="00453CE5" w:rsidRPr="0081560D">
        <w:rPr>
          <w:rFonts w:ascii="Arial" w:hAnsi="Arial" w:cs="Arial"/>
        </w:rPr>
        <w:t xml:space="preserve">v) </w:t>
      </w:r>
      <w:r w:rsidR="00B2685D">
        <w:rPr>
          <w:rFonts w:ascii="Arial" w:eastAsia="Calibri" w:hAnsi="Arial" w:cs="Arial"/>
        </w:rPr>
        <w:t>c</w:t>
      </w:r>
      <w:r w:rsidR="00453CE5" w:rsidRPr="0081560D">
        <w:rPr>
          <w:rFonts w:ascii="Arial" w:eastAsia="Calibri" w:hAnsi="Arial" w:cs="Arial"/>
        </w:rPr>
        <w:t xml:space="preserve">apacidad residual </w:t>
      </w:r>
      <w:r w:rsidR="00453CE5" w:rsidRPr="0081560D">
        <w:rPr>
          <w:rFonts w:ascii="Arial" w:hAnsi="Arial" w:cs="Arial"/>
        </w:rPr>
        <w:t>y rechazo de la oferta</w:t>
      </w:r>
      <w:r w:rsidR="00453CE5" w:rsidRPr="0081560D">
        <w:rPr>
          <w:rFonts w:ascii="Arial" w:eastAsia="Calibri" w:hAnsi="Arial" w:cs="Arial"/>
        </w:rPr>
        <w:t xml:space="preserve"> en procesos regidos por documentos tipo. Documentos Tipo </w:t>
      </w:r>
      <w:r w:rsidR="00453CE5" w:rsidRPr="0081560D">
        <w:rPr>
          <w:rFonts w:ascii="Arial" w:hAnsi="Arial" w:cs="Arial"/>
        </w:rPr>
        <w:t>de licitación para obra pública de infraestructura de transporte</w:t>
      </w:r>
      <w:r w:rsidR="00453CE5" w:rsidRPr="0081560D">
        <w:rPr>
          <w:rFonts w:ascii="Arial" w:eastAsia="Calibri" w:hAnsi="Arial" w:cs="Arial"/>
        </w:rPr>
        <w:t xml:space="preserve"> – Versión 3</w:t>
      </w:r>
      <w:r w:rsidR="00B2685D">
        <w:rPr>
          <w:rFonts w:ascii="Arial" w:eastAsia="Calibri" w:hAnsi="Arial" w:cs="Arial"/>
        </w:rPr>
        <w:t>.</w:t>
      </w:r>
      <w:r w:rsidR="00704651">
        <w:rPr>
          <w:rFonts w:ascii="Arial" w:eastAsia="Calibri" w:hAnsi="Arial" w:cs="Arial"/>
        </w:rPr>
        <w:tab/>
      </w:r>
    </w:p>
    <w:p w14:paraId="4C45C22E" w14:textId="20DC4B89" w:rsidR="00FE5775" w:rsidRPr="00407259" w:rsidRDefault="00FE5775" w:rsidP="00FE5775">
      <w:pPr>
        <w:spacing w:after="0" w:line="276" w:lineRule="auto"/>
        <w:ind w:firstLine="708"/>
        <w:jc w:val="both"/>
        <w:rPr>
          <w:rFonts w:ascii="Arial" w:eastAsia="Times New Roman" w:hAnsi="Arial" w:cs="Arial"/>
          <w:szCs w:val="24"/>
          <w:lang w:val="es-ES_tradnl" w:eastAsia="es-ES_tradnl"/>
        </w:rPr>
      </w:pPr>
      <w:r w:rsidRPr="00407259">
        <w:rPr>
          <w:rFonts w:ascii="Arial" w:eastAsia="Times New Roman" w:hAnsi="Arial" w:cs="Arial"/>
          <w:szCs w:val="24"/>
          <w:lang w:val="es-ES_tradnl" w:eastAsia="es-ES_tradnl"/>
        </w:rPr>
        <w:t>Las preguntas del peticionario se absolverán teniendo como fundamento los documentos tipo de licitación de obra pública de infraestructura de transporte – versión 3</w:t>
      </w:r>
      <w:r w:rsidR="00E2629A">
        <w:rPr>
          <w:rFonts w:ascii="Arial" w:eastAsia="Times New Roman" w:hAnsi="Arial" w:cs="Arial"/>
          <w:szCs w:val="24"/>
          <w:lang w:val="es-ES_tradnl" w:eastAsia="es-ES_tradnl"/>
        </w:rPr>
        <w:t xml:space="preserve">, toda vez que en su consulta no se relaciona el pliego tipo en específico. </w:t>
      </w:r>
      <w:r w:rsidRPr="00407259">
        <w:rPr>
          <w:rFonts w:ascii="Arial" w:eastAsia="Times New Roman" w:hAnsi="Arial" w:cs="Arial"/>
          <w:szCs w:val="24"/>
          <w:lang w:val="es-ES_tradnl" w:eastAsia="es-ES_tradnl"/>
        </w:rPr>
        <w:t xml:space="preserve">Sin embargo, estas consideraciones aplican en lo pertinente, para los otros documentos tipo adoptados por esta Agencia. </w:t>
      </w:r>
    </w:p>
    <w:p w14:paraId="2B1520AF" w14:textId="77777777" w:rsidR="00BC06CC" w:rsidRDefault="008A1F2D" w:rsidP="008A1F2D">
      <w:pPr>
        <w:spacing w:before="120" w:line="276" w:lineRule="auto"/>
        <w:ind w:firstLine="708"/>
        <w:jc w:val="both"/>
        <w:rPr>
          <w:rFonts w:ascii="Arial" w:eastAsia="Calibri" w:hAnsi="Arial" w:cs="Arial"/>
          <w:lang w:val="es-ES"/>
        </w:rPr>
      </w:pPr>
      <w:r>
        <w:rPr>
          <w:rFonts w:ascii="Arial" w:eastAsia="Times New Roman" w:hAnsi="Arial" w:cs="Arial"/>
          <w:szCs w:val="24"/>
          <w:lang w:val="es-ES_tradnl" w:eastAsia="es-ES_tradnl"/>
        </w:rPr>
        <w:t>Por su parte, es importante indicar que l</w:t>
      </w:r>
      <w:r w:rsidRPr="2BED3B38">
        <w:rPr>
          <w:rFonts w:ascii="Arial" w:hAnsi="Arial" w:cs="Arial"/>
        </w:rPr>
        <w:t xml:space="preserve">a Agencia Nacional de Contratación Pública − Colombia Compra Eficiente se ha pronunciado sobre la Capacidad Residual, y la forma como esta se debe acreditar, en los conceptos </w:t>
      </w:r>
      <w:r w:rsidRPr="2BED3B38">
        <w:rPr>
          <w:rStyle w:val="normaltextrun"/>
          <w:rFonts w:ascii="Arial" w:hAnsi="Arial" w:cs="Arial"/>
        </w:rPr>
        <w:t xml:space="preserve">2201913000006275 del 27 de agosto de 2019, 2201913000009465 del 20 de diciembre de 2019, 2201913000009642 y 2201913000009640 del 26 de diciembre de 2019; así como en los conceptos C–022 del 20 de febrero de 2020, C–089 </w:t>
      </w:r>
      <w:r w:rsidRPr="2BED3B38">
        <w:rPr>
          <w:rStyle w:val="normaltextrun"/>
          <w:rFonts w:ascii="Arial" w:hAnsi="Arial" w:cs="Arial"/>
        </w:rPr>
        <w:lastRenderedPageBreak/>
        <w:t xml:space="preserve">del 4 de marzo de 2020, C–112 del 16 de marzo de 2020, C–133 del 25 de marzo de 2020, C–194 del 21 de abril de 2020, C–326 del 9 de junio de 2020, C–446 del 6 de julio de 2020, C-461 del 13 de julio de 2020, C–668 del 20 de noviembre de 2020, C–742 del 16 de diciembre de 2020, C–045 del 5 de marzo de 2021, C–003 del 26 de marzo de 2021, C–121 del 31 de marzo de 2021, C–143 del 9 de abril de 2021, C–202 del 7 de mayo de 2021, C–219 del 19 de mayo de 2021, C–368 del 28 de julio de 2021, C–392 del 5 de agosto de 2021, C–513 del 23 de septiembre de 2021, C–590 del 12 de octubre de 2021, </w:t>
      </w:r>
      <w:r w:rsidRPr="2BED3B38">
        <w:rPr>
          <w:rFonts w:ascii="Arial" w:hAnsi="Arial" w:cs="Arial"/>
        </w:rPr>
        <w:t xml:space="preserve">C-068 del 9 de marzo de 2022, </w:t>
      </w:r>
      <w:r w:rsidRPr="2BED3B38">
        <w:rPr>
          <w:rFonts w:ascii="Arial" w:eastAsia="Calibri" w:hAnsi="Arial" w:cs="Arial"/>
          <w:lang w:val="es-ES"/>
        </w:rPr>
        <w:t>C-220 del 22 de abril de 2022, C-306 de 16 de mayo de 2022, C-351 de 23 de mayo de 2022, C-392 del 16 de junio de 2022, C-512 del 10 de agosto de 2022, C-536 del 22 de agosto de 2022, C-538 del 28 de agosto de 2022, C-567 del 2 de septiembre de 2022, C-549 del 31 de agosto de 2022, C-601 del 22 de septiembre de 2022, C-606 del 23 de septiembre de 2022, C-615 del 19 de agosto de 2022, C-656 del 10 de octubre de 2022</w:t>
      </w:r>
      <w:r w:rsidR="00FC67A1">
        <w:rPr>
          <w:rFonts w:ascii="Arial" w:eastAsia="Calibri" w:hAnsi="Arial" w:cs="Arial"/>
          <w:lang w:val="es-ES"/>
        </w:rPr>
        <w:t>, C-849 de</w:t>
      </w:r>
      <w:r w:rsidR="00427AAB">
        <w:rPr>
          <w:rFonts w:ascii="Arial" w:eastAsia="Calibri" w:hAnsi="Arial" w:cs="Arial"/>
          <w:lang w:val="es-ES"/>
        </w:rPr>
        <w:t xml:space="preserve"> 7 de diciembre de 2022 y C-</w:t>
      </w:r>
      <w:r w:rsidR="00BC06CC">
        <w:rPr>
          <w:rFonts w:ascii="Arial" w:eastAsia="Calibri" w:hAnsi="Arial" w:cs="Arial"/>
          <w:lang w:val="es-ES"/>
        </w:rPr>
        <w:t xml:space="preserve"> 053 de 28 de marzo de 2023.</w:t>
      </w:r>
    </w:p>
    <w:p w14:paraId="0E2688CE" w14:textId="3DB5C6C2" w:rsidR="008A1F2D" w:rsidRPr="0081560D" w:rsidRDefault="008A1F2D" w:rsidP="008A1F2D">
      <w:pPr>
        <w:spacing w:before="120" w:line="276" w:lineRule="auto"/>
        <w:ind w:firstLine="708"/>
        <w:jc w:val="both"/>
        <w:rPr>
          <w:rFonts w:ascii="Arial" w:hAnsi="Arial" w:cs="Arial"/>
          <w:b/>
          <w:bCs/>
          <w:lang w:val="es-ES"/>
        </w:rPr>
      </w:pPr>
      <w:r w:rsidRPr="2BED3B38">
        <w:rPr>
          <w:rFonts w:ascii="Arial" w:eastAsia="Calibri" w:hAnsi="Arial" w:cs="Arial"/>
          <w:lang w:val="es-ES"/>
        </w:rPr>
        <w:t xml:space="preserve"> Así mismo, esta</w:t>
      </w:r>
      <w:r w:rsidRPr="2BED3B38">
        <w:rPr>
          <w:rStyle w:val="normaltextrun"/>
          <w:rFonts w:ascii="Arial" w:hAnsi="Arial" w:cs="Arial"/>
        </w:rPr>
        <w:t xml:space="preserve"> Agencia,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12 de agosto de 2020, C- 663 del 30 de noviembre de 2021, C-692 del 28 de diciembre de 2021, C-306 de 16 de mayo de 2022, </w:t>
      </w:r>
      <w:r w:rsidRPr="2BED3B38">
        <w:rPr>
          <w:rFonts w:ascii="Arial" w:eastAsia="Calibri" w:hAnsi="Arial" w:cs="Arial"/>
          <w:lang w:val="es-ES"/>
        </w:rPr>
        <w:t>C-512 del 10 de agosto de 2022, C-615 del 19 de agosto de 2020</w:t>
      </w:r>
      <w:r w:rsidR="00BC06CC">
        <w:rPr>
          <w:rFonts w:ascii="Arial" w:eastAsia="Calibri" w:hAnsi="Arial" w:cs="Arial"/>
          <w:lang w:val="es-ES"/>
        </w:rPr>
        <w:t>,</w:t>
      </w:r>
      <w:r w:rsidRPr="2BED3B38">
        <w:rPr>
          <w:rFonts w:ascii="Arial" w:eastAsia="Calibri" w:hAnsi="Arial" w:cs="Arial"/>
          <w:lang w:val="es-ES"/>
        </w:rPr>
        <w:t xml:space="preserve"> C-536 del 22 de agosto de 2022</w:t>
      </w:r>
      <w:r w:rsidR="00BC06CC">
        <w:rPr>
          <w:rStyle w:val="normaltextrun"/>
          <w:rFonts w:ascii="Arial" w:hAnsi="Arial" w:cs="Arial"/>
          <w:lang w:val="es-ES"/>
        </w:rPr>
        <w:t xml:space="preserve">, </w:t>
      </w:r>
      <w:r w:rsidR="00BC06CC">
        <w:rPr>
          <w:rFonts w:ascii="Arial" w:eastAsia="Calibri" w:hAnsi="Arial" w:cs="Arial"/>
          <w:lang w:val="es-ES"/>
        </w:rPr>
        <w:t>C-849 de 7 de diciembre de 2022 y C- 053 de 28 de marzo de 2023.</w:t>
      </w:r>
      <w:r w:rsidR="006E636B">
        <w:rPr>
          <w:rFonts w:ascii="Arial" w:eastAsia="Calibri" w:hAnsi="Arial" w:cs="Arial"/>
          <w:lang w:val="es-ES"/>
        </w:rPr>
        <w:t xml:space="preserve"> </w:t>
      </w:r>
      <w:r w:rsidRPr="2BED3B38">
        <w:rPr>
          <w:rStyle w:val="normaltextrun"/>
          <w:rFonts w:ascii="Arial" w:hAnsi="Arial" w:cs="Arial"/>
        </w:rPr>
        <w:t>analizó el rechazo de propuestas por falta de acreditación del requisito de capacidad residual en Procesos de Contratación adelantados con documentos tipo.</w:t>
      </w:r>
      <w:r w:rsidRPr="2BED3B38">
        <w:rPr>
          <w:rStyle w:val="Refdenotaalpie"/>
          <w:rFonts w:ascii="Arial" w:eastAsia="Calibri" w:hAnsi="Arial" w:cs="Arial"/>
          <w:lang w:val="es-ES"/>
        </w:rPr>
        <w:footnoteReference w:id="3"/>
      </w:r>
      <w:r w:rsidRPr="2BED3B38">
        <w:rPr>
          <w:rFonts w:ascii="Arial" w:hAnsi="Arial" w:cs="Arial"/>
          <w:lang w:val="es-ES"/>
        </w:rPr>
        <w:t xml:space="preserve">. </w:t>
      </w:r>
      <w:r w:rsidRPr="2BED3B38">
        <w:rPr>
          <w:rFonts w:ascii="Arial" w:hAnsi="Arial" w:cs="Arial"/>
        </w:rPr>
        <w:t>Las tesis expuestas en dichos conceptos se exponen y, en lo pertinente, se complementa a continuación.</w:t>
      </w:r>
    </w:p>
    <w:p w14:paraId="1802F7E8" w14:textId="77777777" w:rsidR="00FE5775" w:rsidRPr="00407259" w:rsidRDefault="00FE5775" w:rsidP="00FE5775">
      <w:pPr>
        <w:spacing w:after="0" w:line="276" w:lineRule="auto"/>
        <w:jc w:val="both"/>
        <w:rPr>
          <w:rFonts w:ascii="Arial" w:eastAsia="Arial" w:hAnsi="Arial" w:cs="Arial"/>
          <w:b/>
          <w:bCs/>
          <w:color w:val="000000"/>
          <w:szCs w:val="24"/>
          <w:lang w:val="es-ES_tradnl" w:eastAsia="es-ES_tradnl"/>
        </w:rPr>
      </w:pPr>
      <w:r w:rsidRPr="00407259">
        <w:rPr>
          <w:rFonts w:ascii="Arial" w:eastAsia="Arial" w:hAnsi="Arial" w:cs="Arial"/>
          <w:b/>
          <w:bCs/>
          <w:color w:val="000000"/>
          <w:szCs w:val="24"/>
          <w:lang w:val="es-ES_tradnl" w:eastAsia="es-ES_tradnl"/>
        </w:rPr>
        <w:t>2.1. Documentos tipo: fundamento normativo y documentos adoptados hasta la actualidad</w:t>
      </w:r>
    </w:p>
    <w:p w14:paraId="44ED3C93" w14:textId="77777777" w:rsidR="00FE5775" w:rsidRPr="00407259" w:rsidRDefault="00FE5775" w:rsidP="00FE5775">
      <w:pPr>
        <w:spacing w:after="0" w:line="276" w:lineRule="auto"/>
        <w:jc w:val="both"/>
        <w:rPr>
          <w:rFonts w:ascii="Arial" w:eastAsia="Arial" w:hAnsi="Arial" w:cs="Arial"/>
          <w:b/>
          <w:bCs/>
          <w:color w:val="000000"/>
          <w:szCs w:val="24"/>
          <w:lang w:val="es-ES_tradnl" w:eastAsia="es-ES_tradnl"/>
        </w:rPr>
      </w:pPr>
    </w:p>
    <w:p w14:paraId="5C399D35" w14:textId="77777777" w:rsidR="00FE5775" w:rsidRPr="00407259" w:rsidRDefault="00FE5775" w:rsidP="00FE5775">
      <w:pPr>
        <w:spacing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La adopción de los documentos tipo obligatorios en el ordenamiento jurídico colombiano se incluyó por primera vez en el parágrafo 3 del artículo 2 de la Ley 1150 de 2007</w:t>
      </w:r>
      <w:r w:rsidRPr="00407259">
        <w:rPr>
          <w:rFonts w:ascii="Arial" w:eastAsia="Calibri" w:hAnsi="Arial" w:cs="Arial"/>
          <w:color w:val="000000"/>
          <w:szCs w:val="24"/>
          <w:vertAlign w:val="superscript"/>
          <w:lang w:val="es-ES" w:eastAsia="es-ES_tradnl"/>
        </w:rPr>
        <w:footnoteReference w:id="4"/>
      </w:r>
      <w:r w:rsidRPr="00407259">
        <w:rPr>
          <w:rFonts w:ascii="Arial" w:eastAsia="Calibri" w:hAnsi="Arial" w:cs="Arial"/>
          <w:color w:val="000000"/>
          <w:szCs w:val="24"/>
          <w:lang w:val="es-ES" w:eastAsia="es-ES_tradnl"/>
        </w:rPr>
        <w:t xml:space="preserve">, que facultó al gobierno nacional para expedirlos, pero solo cuando se tratara de la adquisición o suministro de bienes y servicios de características técnicas uniformes y de común utilización; facultad que no ha sido ejercida hasta la actualidad. </w:t>
      </w:r>
    </w:p>
    <w:p w14:paraId="2950D0DF" w14:textId="77777777" w:rsidR="00FE5775" w:rsidRPr="00407259" w:rsidRDefault="00FE5775" w:rsidP="00FE5775">
      <w:pPr>
        <w:spacing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 xml:space="preserve">Debido a lo anterior, el artículo 4 de la Ley 1882 de 2018 es el antecedente más relevante de la expedición de documentos tipo con alcance obligatorio. A partir de esta norma se determinó la obligatoriedad por parte de todas las entidades sometidas al Estatuto General de Contratación </w:t>
      </w:r>
      <w:r w:rsidRPr="00407259">
        <w:rPr>
          <w:rFonts w:ascii="Arial" w:eastAsia="Calibri" w:hAnsi="Arial" w:cs="Arial"/>
          <w:color w:val="000000"/>
          <w:szCs w:val="24"/>
          <w:lang w:val="es-ES" w:eastAsia="es-ES_tradnl"/>
        </w:rPr>
        <w:lastRenderedPageBreak/>
        <w:t xml:space="preserve">de la Administración Pública de aplicar los documentos tipo adoptados por el gobierno nacional. En virtud de las competencias atribuidas por la Ley 1882 de 2018 se expidieron varios documentos tipo para el sector de infraestructura de transporte. </w:t>
      </w:r>
    </w:p>
    <w:p w14:paraId="1C69D3F4" w14:textId="77777777" w:rsidR="00FE5775" w:rsidRPr="00407259" w:rsidRDefault="00FE5775" w:rsidP="00FE5775">
      <w:pPr>
        <w:spacing w:before="120" w:after="120" w:line="276" w:lineRule="auto"/>
        <w:ind w:firstLine="708"/>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407259">
        <w:rPr>
          <w:rFonts w:ascii="Arial" w:eastAsia="Calibri" w:hAnsi="Arial" w:cs="Arial"/>
          <w:color w:val="000000"/>
          <w:szCs w:val="24"/>
          <w:vertAlign w:val="superscript"/>
          <w:lang w:val="es-ES" w:eastAsia="es-ES_tradnl"/>
        </w:rPr>
        <w:footnoteReference w:id="5"/>
      </w:r>
      <w:r w:rsidRPr="00407259">
        <w:rPr>
          <w:rFonts w:ascii="Arial" w:eastAsia="Calibri" w:hAnsi="Arial" w:cs="Arial"/>
          <w:color w:val="000000"/>
          <w:szCs w:val="24"/>
          <w:lang w:val="es-ES" w:eastAsia="es-ES_tradnl"/>
        </w:rPr>
        <w:t>.</w:t>
      </w:r>
    </w:p>
    <w:p w14:paraId="22F5026C" w14:textId="77777777" w:rsidR="00FE5775" w:rsidRPr="00407259" w:rsidRDefault="00FE5775" w:rsidP="00FE577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2C6AA75A" w14:textId="77777777" w:rsidR="00FE5775" w:rsidRPr="00407259" w:rsidRDefault="00FE5775" w:rsidP="00FE577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 xml:space="preserve">De la norma descrita se concluía lo siguiente: i) la adopción de los documentos tipo estaba en cabeza del gobierno nacional; ii) estos debían relacionarse con procesos de obra públicas, interventoría para las obras públicas, interventoría para consultoría de estudios y diseños y, finalmente, consultoría en ingeniería para obras; iii) eran de obligatorio cumplimiento por parte de todas las entidades sometidas al Estatuto General de Contratación de la Administración Pública; iv) en los documentos tipo se indicarían las condiciones generales de los requisitos habilitantes, así como los factores técnicos y económicos de escogencia, según correspondiera para cada modalidad de selección; v) el gobierno nacional tenía la facultad de adoptar documentos tipo en </w:t>
      </w:r>
      <w:r w:rsidRPr="00407259">
        <w:rPr>
          <w:rFonts w:ascii="Arial" w:eastAsia="Calibri" w:hAnsi="Arial" w:cs="Arial"/>
          <w:color w:val="000000"/>
          <w:szCs w:val="24"/>
          <w:lang w:val="es-ES" w:eastAsia="es-ES_tradnl"/>
        </w:rPr>
        <w:lastRenderedPageBreak/>
        <w:t xml:space="preserve">otros contratos o procesos de selección, y por último, vi) los documentos tipo serían adoptados por categorías de acuerdo con la cuantía de la contratación. </w:t>
      </w:r>
    </w:p>
    <w:p w14:paraId="12A2F16E" w14:textId="77777777" w:rsidR="00FE5775" w:rsidRPr="00407259" w:rsidRDefault="00FE5775" w:rsidP="00FE577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407259">
        <w:rPr>
          <w:rFonts w:ascii="Arial" w:eastAsia="Calibri" w:hAnsi="Arial" w:cs="Arial"/>
          <w:color w:val="000000"/>
          <w:szCs w:val="24"/>
          <w:vertAlign w:val="superscript"/>
          <w:lang w:val="es-ES" w:eastAsia="es-ES_tradnl"/>
        </w:rPr>
        <w:footnoteReference w:id="6"/>
      </w:r>
      <w:r w:rsidRPr="00407259">
        <w:rPr>
          <w:rFonts w:ascii="Arial" w:eastAsia="Calibri" w:hAnsi="Arial" w:cs="Arial"/>
          <w:color w:val="000000"/>
          <w:szCs w:val="24"/>
          <w:lang w:val="es-ES" w:eastAsia="es-ES_tradnl"/>
        </w:rPr>
        <w:t>.</w:t>
      </w:r>
    </w:p>
    <w:p w14:paraId="1014B240" w14:textId="77777777" w:rsidR="00FE5775" w:rsidRPr="00407259" w:rsidRDefault="00FE5775" w:rsidP="00FE5775">
      <w:pPr>
        <w:spacing w:before="120" w:after="120" w:line="276" w:lineRule="auto"/>
        <w:jc w:val="both"/>
        <w:rPr>
          <w:rFonts w:ascii="Arial" w:eastAsia="Calibri" w:hAnsi="Arial" w:cs="Arial"/>
          <w:color w:val="000000"/>
          <w:szCs w:val="24"/>
          <w:lang w:val="es-ES" w:eastAsia="es-ES_tradnl"/>
        </w:rPr>
      </w:pPr>
      <w:r w:rsidRPr="00407259">
        <w:rPr>
          <w:rFonts w:ascii="Arial" w:eastAsia="Calibri" w:hAnsi="Arial" w:cs="Arial"/>
          <w:color w:val="000000"/>
          <w:szCs w:val="24"/>
          <w:lang w:val="es-ES" w:eastAsia="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iniciar un proceso de convocatoria para satisfacer sus necesidades para la adquisición de un bien, obra o servicio, y además se incluyen en la minuta del contrato las condiciones particulares del negocio jurídico a celebrar.</w:t>
      </w:r>
    </w:p>
    <w:p w14:paraId="0506F7F4" w14:textId="77777777" w:rsidR="00FE5775" w:rsidRPr="00407259" w:rsidRDefault="00FE5775" w:rsidP="00FE5775">
      <w:pPr>
        <w:spacing w:before="120" w:after="120" w:line="276" w:lineRule="auto"/>
        <w:jc w:val="both"/>
        <w:rPr>
          <w:rFonts w:ascii="Arial" w:eastAsia="Calibri" w:hAnsi="Arial" w:cs="Arial"/>
          <w:lang w:val="es-ES"/>
        </w:rPr>
      </w:pPr>
      <w:r w:rsidRPr="00407259">
        <w:rPr>
          <w:rFonts w:ascii="Arial" w:eastAsia="Calibri" w:hAnsi="Arial" w:cs="Arial"/>
          <w:color w:val="000000"/>
          <w:lang w:val="es-ES" w:eastAsia="es-ES_tradnl"/>
        </w:rPr>
        <w:tab/>
        <w:t xml:space="preserve">Explicado el proceso para adoptar los documentos tipo en virtud de la Ley 1882 de 2018 y estudiada su constitucionalidad, de acuerdo con el pronunciamiento de la Corte Constitucional, a continuación, se identificarán los documentos tipo adoptados por el gobierno nacional en virtud de esta ley. </w:t>
      </w:r>
      <w:r w:rsidRPr="00407259">
        <w:rPr>
          <w:rFonts w:ascii="Arial" w:eastAsia="Calibri" w:hAnsi="Arial" w:cs="Arial"/>
          <w:lang w:val="es-ES"/>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transporte. </w:t>
      </w:r>
    </w:p>
    <w:p w14:paraId="7762EFAE" w14:textId="77777777" w:rsidR="00FE5775" w:rsidRPr="00407259" w:rsidRDefault="00FE5775" w:rsidP="00FE5775">
      <w:pPr>
        <w:spacing w:before="120" w:after="120" w:line="276" w:lineRule="auto"/>
        <w:jc w:val="both"/>
        <w:rPr>
          <w:rFonts w:ascii="Arial" w:eastAsia="Calibri" w:hAnsi="Arial" w:cs="Arial"/>
          <w:color w:val="000000"/>
          <w:lang w:val="es-ES" w:eastAsia="es-ES_tradnl"/>
        </w:rPr>
      </w:pPr>
      <w:r w:rsidRPr="00407259">
        <w:rPr>
          <w:rFonts w:ascii="Arial" w:eastAsia="Calibri" w:hAnsi="Arial" w:cs="Arial"/>
          <w:lang w:val="es-ES"/>
        </w:rPr>
        <w:tab/>
        <w:t>Posteriormente,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407259" w:rsidDel="00A434AB">
        <w:rPr>
          <w:rFonts w:ascii="Arial" w:eastAsia="Calibri" w:hAnsi="Arial" w:cs="Arial"/>
          <w:lang w:val="es-ES"/>
        </w:rPr>
        <w:t xml:space="preserve"> </w:t>
      </w:r>
      <w:r w:rsidRPr="00407259">
        <w:rPr>
          <w:rFonts w:ascii="Arial" w:eastAsia="Calibri" w:hAnsi="Arial" w:cs="Arial"/>
          <w:lang w:val="es-ES"/>
        </w:rPr>
        <w:t xml:space="preserve">de infraestructura de transporte que se </w:t>
      </w:r>
      <w:r w:rsidRPr="00407259">
        <w:rPr>
          <w:rFonts w:ascii="Arial" w:eastAsia="Calibri" w:hAnsi="Arial" w:cs="Arial"/>
          <w:lang w:val="es-ES"/>
        </w:rPr>
        <w:lastRenderedPageBreak/>
        <w:t>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2991CE37" w14:textId="0916C8C4" w:rsidR="00FE5775" w:rsidRPr="00407259" w:rsidRDefault="00FE5775" w:rsidP="00FE5775">
      <w:pPr>
        <w:spacing w:before="120" w:after="120" w:line="276" w:lineRule="auto"/>
        <w:ind w:firstLine="709"/>
        <w:jc w:val="both"/>
        <w:rPr>
          <w:rFonts w:ascii="Arial" w:eastAsia="Calibri" w:hAnsi="Arial" w:cs="Arial"/>
          <w:bdr w:val="none" w:sz="0" w:space="0" w:color="auto" w:frame="1"/>
        </w:rPr>
      </w:pPr>
      <w:r w:rsidRPr="00407259">
        <w:rPr>
          <w:rFonts w:ascii="Arial" w:eastAsia="Calibri" w:hAnsi="Arial" w:cs="Arial"/>
          <w:color w:val="000000"/>
          <w:lang w:val="es-ES" w:eastAsia="es-ES"/>
        </w:rPr>
        <w:t>Por otra parte</w:t>
      </w:r>
      <w:r w:rsidRPr="00407259">
        <w:rPr>
          <w:rFonts w:ascii="Arial" w:eastAsia="Calibri" w:hAnsi="Arial" w:cs="Arial"/>
          <w:i/>
          <w:iCs/>
          <w:color w:val="000000"/>
          <w:lang w:val="es-ES" w:eastAsia="es-ES"/>
        </w:rPr>
        <w:t>,</w:t>
      </w:r>
      <w:r w:rsidRPr="00407259">
        <w:rPr>
          <w:rFonts w:ascii="Arial" w:eastAsia="Calibri" w:hAnsi="Arial" w:cs="Arial"/>
          <w:color w:val="000000"/>
          <w:lang w:val="es-ES" w:eastAsia="es-ES"/>
        </w:rPr>
        <w:t xml:space="preserve"> debe tenerse en cuenta que la Ley 2022 de 2020 fue sancionada por el </w:t>
      </w:r>
      <w:r w:rsidR="00CB0E30" w:rsidRPr="00407259">
        <w:rPr>
          <w:rFonts w:ascii="Arial" w:eastAsia="Calibri" w:hAnsi="Arial" w:cs="Arial"/>
          <w:color w:val="000000"/>
          <w:lang w:val="es-ES" w:eastAsia="es-ES"/>
        </w:rPr>
        <w:t>presidente</w:t>
      </w:r>
      <w:r w:rsidRPr="00407259">
        <w:rPr>
          <w:rFonts w:ascii="Arial" w:eastAsia="Calibri" w:hAnsi="Arial" w:cs="Arial"/>
          <w:color w:val="000000"/>
          <w:lang w:val="es-ES" w:eastAsia="es-ES"/>
        </w:rPr>
        <w:t xml:space="preserve"> de la República el 22 de julio de 2020, que en su artículo 1 modificó el artículo 4 de la Ley 1882 de 2018 y, por tanto, modificó el parágrafo 7 del artículo 2 de la Ley 1150 de 2007, asignando directamente a la Agencia Nacional de Contratación Pública – Colombia Compra Eficiente la facultad para adoptar los documentos tipo</w:t>
      </w:r>
      <w:r w:rsidRPr="00407259">
        <w:rPr>
          <w:rFonts w:ascii="Arial" w:eastAsia="Calibri" w:hAnsi="Arial" w:cs="Arial"/>
          <w:color w:val="000000"/>
          <w:vertAlign w:val="superscript"/>
          <w:lang w:val="es-ES" w:eastAsia="es-ES"/>
        </w:rPr>
        <w:footnoteReference w:id="7"/>
      </w:r>
      <w:r w:rsidRPr="00407259">
        <w:rPr>
          <w:rFonts w:ascii="Arial" w:eastAsia="Calibri" w:hAnsi="Arial" w:cs="Arial"/>
          <w:color w:val="000000"/>
          <w:lang w:val="es-ES" w:eastAsia="es-ES"/>
        </w:rPr>
        <w:t xml:space="preserv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59A0CBF3" w14:textId="77777777" w:rsidR="00FE5775" w:rsidRPr="00407259" w:rsidRDefault="00FE5775" w:rsidP="00FE5775">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Con fundamento en dicha Ley,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w:t>
      </w:r>
      <w:r w:rsidRPr="00407259">
        <w:rPr>
          <w:rFonts w:ascii="Arial" w:eastAsia="Calibri" w:hAnsi="Arial" w:cs="Arial"/>
          <w:lang w:val="es-ES" w:eastAsia="es-ES"/>
        </w:rPr>
        <w:lastRenderedPageBreak/>
        <w:t xml:space="preserve">infraestructura de transporte y se deroga la Resolución 0044 de 2020”. Adicionalmente, entró en vigor la Resolución 256 de 2020, “Por la cual se adoptan los documentos tipo para los procesos de selección de concursos de méritos, para contratar la interventoría de obras públicas de infraestructura de transporte”. </w:t>
      </w:r>
    </w:p>
    <w:p w14:paraId="08BD1D6B" w14:textId="77777777" w:rsidR="00FE5775" w:rsidRPr="00407259" w:rsidRDefault="00FE5775" w:rsidP="00FE5775">
      <w:pPr>
        <w:spacing w:before="120" w:after="120" w:line="276" w:lineRule="auto"/>
        <w:ind w:firstLine="709"/>
        <w:jc w:val="both"/>
        <w:rPr>
          <w:rFonts w:ascii="Arial" w:eastAsia="Calibri" w:hAnsi="Arial" w:cs="Arial"/>
          <w:lang w:val="es-ES" w:eastAsia="es-ES"/>
        </w:rPr>
      </w:pPr>
      <w:r w:rsidRPr="00407259">
        <w:rPr>
          <w:rFonts w:ascii="Arial" w:eastAsia="Calibri" w:hAnsi="Arial" w:cs="Arial"/>
          <w:lang w:val="es-ES" w:eastAsia="es-ES"/>
        </w:rPr>
        <w:t xml:space="preserve">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así como la Resolución 269 de 2020, “Por la cual se adopta el documento tipo para los procesos de gestión catastral con enfoque multipropósito que se celebren a través de contratos interadministrativos”. </w:t>
      </w:r>
    </w:p>
    <w:p w14:paraId="5A1E5A2D" w14:textId="77777777" w:rsidR="00FE5775" w:rsidRPr="00407259" w:rsidRDefault="00FE5775" w:rsidP="00FE5775">
      <w:pPr>
        <w:spacing w:before="120" w:after="120" w:line="276" w:lineRule="auto"/>
        <w:ind w:firstLine="709"/>
        <w:jc w:val="both"/>
        <w:rPr>
          <w:rFonts w:ascii="Arial" w:hAnsi="Arial" w:cs="Arial"/>
        </w:rPr>
      </w:pPr>
      <w:r w:rsidRPr="00407259">
        <w:rPr>
          <w:rFonts w:ascii="Arial" w:eastAsia="Calibri" w:hAnsi="Arial" w:cs="Arial"/>
          <w:color w:val="000000"/>
          <w:lang w:val="es-ES" w:eastAsia="es-ES"/>
        </w:rPr>
        <w:t xml:space="preserve">Asimismo, en el transcurso del año 2021, esta Agencia expidió la Resolución 193 del 14 de julio de 2021 “Por la cual se adoptan los documentos tipo para los procesos de </w:t>
      </w:r>
      <w:r w:rsidRPr="00407259">
        <w:rPr>
          <w:rFonts w:ascii="Arial" w:eastAsia="Calibri" w:hAnsi="Arial" w:cs="Arial"/>
          <w:lang w:val="es-ES" w:eastAsia="es-ES"/>
        </w:rPr>
        <w:t>selección de concurso de méritos, para contratar la consultoría de estudios de ingeniería de infraestructura de transporte”. De igual forma, el 6 de agosto de 2021, se adoptaron las Resoluciones 219 de 2021 “Por la cual se adoptan los documentos tipo para los procesos de licitación de obra pública de infraestructura social” y 220 de 2021 “Por la cual se adoptan los documentos tipo complementarios para los procesos de licitación de obra pública de infraestructura social relacionados con el sector educativo”. Estos últimos documentos tipo tienen la particularidad de que los documentos adoptados por la Resolución de 219 de 2021 serán utilizados en forma transversal en los sectores de educación, salud y recreación, cultura y deporte. En esta línea, se expidió la Resolución 392 del 18 de noviembre de 2021 “</w:t>
      </w:r>
      <w:r w:rsidRPr="00407259">
        <w:rPr>
          <w:rFonts w:ascii="Arial" w:hAnsi="Arial" w:cs="Arial"/>
          <w:bCs/>
          <w:iCs/>
          <w:shd w:val="clear" w:color="auto" w:fill="FFFFFF"/>
        </w:rPr>
        <w:t>Por la cual se adoptan los documentos tipo complementarios para los procesos de licitación de obra pública de infraestructura social relacionados con el sector salud</w:t>
      </w:r>
      <w:r w:rsidRPr="00407259">
        <w:rPr>
          <w:rFonts w:ascii="Arial" w:eastAsia="Calibri" w:hAnsi="Arial" w:cs="Arial"/>
          <w:lang w:val="es-ES" w:eastAsia="es-ES"/>
        </w:rPr>
        <w:t>”. Luego, se expidió la Resolución 454 del 16 de diciembre de 2021 “</w:t>
      </w:r>
      <w:r w:rsidRPr="00407259">
        <w:rPr>
          <w:rFonts w:ascii="Arial" w:hAnsi="Arial" w:cs="Arial"/>
        </w:rPr>
        <w:t>Por la cual se adoptan los documentos tipo complementarios para los procesos de licitación de obra pública de infraestructura social relacionados con el sector cultura, recreación y deporte</w:t>
      </w:r>
      <w:r w:rsidRPr="00407259">
        <w:rPr>
          <w:rFonts w:ascii="Arial" w:eastAsia="Calibri" w:hAnsi="Arial" w:cs="Arial"/>
          <w:lang w:val="es-ES" w:eastAsia="es-ES"/>
        </w:rPr>
        <w:t>”</w:t>
      </w:r>
      <w:r w:rsidRPr="00407259">
        <w:rPr>
          <w:rFonts w:ascii="Arial" w:hAnsi="Arial" w:cs="Arial"/>
        </w:rPr>
        <w:t>.</w:t>
      </w:r>
    </w:p>
    <w:p w14:paraId="5976550D" w14:textId="77777777" w:rsidR="00FE5775" w:rsidRPr="00407259" w:rsidRDefault="00FE5775" w:rsidP="00FE5775">
      <w:pPr>
        <w:spacing w:before="120" w:after="120" w:line="276" w:lineRule="auto"/>
        <w:ind w:firstLine="709"/>
        <w:jc w:val="both"/>
        <w:rPr>
          <w:rFonts w:ascii="Arial" w:eastAsia="Times New Roman" w:hAnsi="Arial" w:cs="Arial"/>
          <w:bdr w:val="none" w:sz="0" w:space="0" w:color="auto" w:frame="1"/>
          <w:lang w:val="es-ES_tradnl" w:eastAsia="es-CO"/>
        </w:rPr>
      </w:pPr>
      <w:r w:rsidRPr="00407259">
        <w:rPr>
          <w:rFonts w:ascii="Arial" w:eastAsia="Times New Roman" w:hAnsi="Arial" w:cs="Arial"/>
          <w:bdr w:val="none" w:sz="0" w:space="0" w:color="auto" w:frame="1"/>
          <w:lang w:val="es-ES_tradnl" w:eastAsia="es-CO"/>
        </w:rPr>
        <w:t xml:space="preserve">No obstante, con la expedición de la Ley de Emprendimiento, se modificaron varios documentos tipo mediante la Resolución No. 161 del 17 de junio de 2021 “Por la cual se modifican los documentos tipo adoptados por la Agencia Nacional de Contratación Pública – Colombia Compra Eficiente”, la cual rige para los procedimientos de selección cuya invitación o aviso de convocatoria se publique a partir del 28 de junio de 2021. </w:t>
      </w:r>
    </w:p>
    <w:p w14:paraId="2BA9B25C" w14:textId="77777777" w:rsidR="00FE5775" w:rsidRPr="00407259" w:rsidRDefault="00FE5775" w:rsidP="00FE5775">
      <w:pPr>
        <w:spacing w:before="120" w:after="120" w:line="276" w:lineRule="auto"/>
        <w:ind w:firstLine="709"/>
        <w:jc w:val="both"/>
        <w:rPr>
          <w:rFonts w:ascii="Arial" w:eastAsia="Calibri" w:hAnsi="Arial" w:cs="Arial"/>
          <w:lang w:val="es-ES_tradnl" w:eastAsia="es-ES"/>
        </w:rPr>
      </w:pPr>
      <w:r w:rsidRPr="00407259">
        <w:rPr>
          <w:rFonts w:ascii="Arial" w:eastAsia="Calibri" w:hAnsi="Arial" w:cs="Arial"/>
          <w:lang w:val="es-ES_tradnl" w:eastAsia="es-ES"/>
        </w:rPr>
        <w:t>Es importante resaltar que la Agencia Nacional de Contratación Pública – Colombia Compra Eficiente, el 13 de octubre de 2021, expidió la Resolución 304 mediante la cual se modifican los documentos tipo de licitación de obra pública de infraestructura de transporte, agua potable y saneamiento básico, y los de infraestructura social para adecuarlos al Decreto 680 de 2021. La principal modificación realizada en esta resolución consiste en la modificación al factor de evaluación de apoyo a la industria nacional.</w:t>
      </w:r>
    </w:p>
    <w:p w14:paraId="282C36B6" w14:textId="77777777" w:rsidR="00FE5775" w:rsidRPr="00407259" w:rsidRDefault="00FE5775" w:rsidP="00FE5775">
      <w:pPr>
        <w:spacing w:after="0" w:line="276" w:lineRule="auto"/>
        <w:ind w:firstLine="709"/>
        <w:jc w:val="both"/>
        <w:rPr>
          <w:rFonts w:ascii="Arial" w:hAnsi="Arial" w:cs="Arial"/>
          <w:spacing w:val="2"/>
          <w:lang w:eastAsia="es-CO"/>
        </w:rPr>
      </w:pPr>
      <w:r w:rsidRPr="00407259">
        <w:rPr>
          <w:rFonts w:ascii="Arial" w:hAnsi="Arial" w:cs="Arial"/>
          <w:spacing w:val="2"/>
          <w:lang w:eastAsia="es-CO"/>
        </w:rPr>
        <w:lastRenderedPageBreak/>
        <w:t xml:space="preserve">Con posterioridad, el Decreto 1860 de 2021 modificó </w:t>
      </w:r>
      <w:r w:rsidRPr="00407259">
        <w:rPr>
          <w:rFonts w:ascii="Arial" w:eastAsia="Arial" w:hAnsi="Arial" w:cs="Arial"/>
          <w:szCs w:val="24"/>
          <w:lang w:eastAsia="es-CO"/>
        </w:rPr>
        <w:t xml:space="preserve">el Decreto 1082 de 2015, Único Reglamentario del Sector Administrativo de Planeación Nacional, incorporando una regulación detallada de la Ley 2069 de 2020 para su efectiva implementación en el sistema de compras y contratación pública, </w:t>
      </w:r>
      <w:r w:rsidRPr="00407259">
        <w:rPr>
          <w:rFonts w:ascii="Arial" w:eastAsia="Times New Roman" w:hAnsi="Arial" w:cs="Arial"/>
          <w:szCs w:val="24"/>
          <w:lang w:eastAsia="es-MX"/>
        </w:rPr>
        <w:t>además de incluir algunas disposiciones adicionales para la reglamentación efectiva de la citada Ley.</w:t>
      </w:r>
      <w:r w:rsidRPr="00407259">
        <w:rPr>
          <w:rFonts w:ascii="Arial" w:eastAsia="Arial" w:hAnsi="Arial" w:cs="Arial"/>
          <w:szCs w:val="24"/>
          <w:lang w:eastAsia="es-CO"/>
        </w:rPr>
        <w:t xml:space="preserve"> </w:t>
      </w:r>
      <w:r w:rsidRPr="00407259">
        <w:rPr>
          <w:rFonts w:ascii="Arial" w:eastAsia="Times New Roman" w:hAnsi="Arial" w:cs="Arial"/>
          <w:spacing w:val="2"/>
          <w:lang w:eastAsia="es-CO"/>
        </w:rPr>
        <w:t xml:space="preserve">En este sentido, el parágrafo del artículo 8 del Decreto 1860 de 2021 otorgó un plazo de seis (6) meses contados a partir de su expedición, para que la Agencia Nacional de Contratación Pública – Colombia Compra Eficiente adecuara los Documentos Tipo a las disposiciones previstas en dicho decreto. </w:t>
      </w:r>
      <w:r w:rsidRPr="00407259">
        <w:rPr>
          <w:rFonts w:ascii="Arial" w:hAnsi="Arial" w:cs="Arial"/>
          <w:spacing w:val="2"/>
          <w:lang w:eastAsia="es-CO"/>
        </w:rPr>
        <w:t>Ante este cambio normativo, se expidió la Resolución No. 275 del 24 de junio de 2022, la cual modificó los documentos tipo, adecuándolos a las nuevas reglas contenidas en el decreto en comento. Sin embargo, dichas modificaciones aplicarán para los procedimientos de selección cuyo aviso de convocatoria se publique a partir del 29 de agosto de 2022, como se establece en el artículo 179 de dicha resolución.</w:t>
      </w:r>
    </w:p>
    <w:p w14:paraId="433B9BF0" w14:textId="77777777" w:rsidR="00FE5775" w:rsidRPr="00407259" w:rsidRDefault="00FE5775" w:rsidP="00FE5775">
      <w:pPr>
        <w:spacing w:before="120" w:after="0" w:line="276" w:lineRule="auto"/>
        <w:ind w:firstLine="709"/>
        <w:jc w:val="both"/>
        <w:rPr>
          <w:rFonts w:ascii="Arial" w:hAnsi="Arial" w:cs="Arial"/>
          <w:spacing w:val="2"/>
          <w:lang w:eastAsia="es-CO"/>
        </w:rPr>
      </w:pPr>
      <w:r w:rsidRPr="00407259">
        <w:rPr>
          <w:rFonts w:ascii="Arial" w:hAnsi="Arial" w:cs="Arial"/>
          <w:spacing w:val="2"/>
          <w:lang w:eastAsia="es-CO"/>
        </w:rPr>
        <w:t xml:space="preserve">Finalmente, se expidió la Resolución No. 326 del 22 de julio de 2022 “Por la cual se actualizan los documentos tipo para los procesos de contratación de concurso de méritos para contratar la interventoría de obras públicas de infraestructura de transporte y se deroga la Resolución 256 de 2020”. Asimismo, se expidió la Resolución No. 333 del 27 de julio de 2022 “Por la cual se adoptan los documentos tipo para los procesos de selección de concurso de méritos para contratar la interventoría de obras públicas de infraestructura de agua potable y saneamiento básico”. </w:t>
      </w:r>
    </w:p>
    <w:p w14:paraId="60DA2C63" w14:textId="77777777" w:rsidR="00FE5775" w:rsidRPr="00407259" w:rsidRDefault="00FE5775" w:rsidP="00FE5775">
      <w:pPr>
        <w:tabs>
          <w:tab w:val="left" w:pos="0"/>
        </w:tabs>
        <w:spacing w:after="0" w:line="276" w:lineRule="auto"/>
        <w:ind w:left="11"/>
        <w:contextualSpacing/>
        <w:jc w:val="both"/>
        <w:rPr>
          <w:rFonts w:ascii="Arial" w:eastAsia="Calibri" w:hAnsi="Arial" w:cs="Arial"/>
          <w:b/>
          <w:bCs/>
          <w:lang w:eastAsia="en-GB"/>
        </w:rPr>
      </w:pPr>
    </w:p>
    <w:p w14:paraId="065EB27A" w14:textId="57DC20FA" w:rsidR="00FE5775" w:rsidRPr="00407259" w:rsidRDefault="00FE5775" w:rsidP="00A31B6D">
      <w:pPr>
        <w:tabs>
          <w:tab w:val="left" w:pos="0"/>
        </w:tabs>
        <w:spacing w:after="0" w:line="240" w:lineRule="auto"/>
        <w:ind w:left="11"/>
        <w:jc w:val="both"/>
        <w:rPr>
          <w:rFonts w:ascii="Arial" w:eastAsia="Calibri" w:hAnsi="Arial" w:cs="Arial"/>
          <w:b/>
          <w:bCs/>
        </w:rPr>
      </w:pPr>
      <w:r w:rsidRPr="00407259">
        <w:rPr>
          <w:rFonts w:ascii="Arial" w:eastAsia="Arial" w:hAnsi="Arial" w:cs="Arial"/>
          <w:b/>
          <w:lang w:val="es-ES"/>
        </w:rPr>
        <w:t xml:space="preserve">2.2 </w:t>
      </w:r>
      <w:bookmarkStart w:id="1" w:name="_Hlk121298041"/>
      <w:bookmarkStart w:id="2" w:name="_Hlk63855115"/>
      <w:r w:rsidRPr="00407259">
        <w:rPr>
          <w:rFonts w:ascii="Arial" w:eastAsia="Calibri" w:hAnsi="Arial" w:cs="Arial"/>
          <w:b/>
          <w:bCs/>
        </w:rPr>
        <w:t>Generalidades de la Capacidad Residual o K de contratación como requisito habilitante</w:t>
      </w:r>
    </w:p>
    <w:bookmarkEnd w:id="1"/>
    <w:p w14:paraId="79F19A8E" w14:textId="77777777" w:rsidR="00FE5775" w:rsidRPr="00407259" w:rsidRDefault="00FE5775" w:rsidP="00FE5775">
      <w:pPr>
        <w:shd w:val="clear" w:color="auto" w:fill="FFFFFF"/>
        <w:spacing w:after="0" w:line="276" w:lineRule="auto"/>
        <w:jc w:val="both"/>
        <w:textAlignment w:val="baseline"/>
        <w:rPr>
          <w:rFonts w:ascii="Arial" w:eastAsia="Times New Roman" w:hAnsi="Arial" w:cs="Arial"/>
          <w:lang w:eastAsia="es-CO"/>
        </w:rPr>
      </w:pPr>
    </w:p>
    <w:p w14:paraId="44C3282E" w14:textId="77777777" w:rsidR="00FE5775" w:rsidRPr="00407259" w:rsidRDefault="00FE5775" w:rsidP="00FE5775">
      <w:pPr>
        <w:widowControl w:val="0"/>
        <w:autoSpaceDE w:val="0"/>
        <w:autoSpaceDN w:val="0"/>
        <w:spacing w:after="120" w:line="276" w:lineRule="auto"/>
        <w:ind w:right="51"/>
        <w:jc w:val="both"/>
        <w:rPr>
          <w:rFonts w:ascii="Arial" w:eastAsia="Arial" w:hAnsi="Arial" w:cs="Arial"/>
          <w:lang w:val="es-ES" w:eastAsia="es-ES" w:bidi="es-ES"/>
        </w:rPr>
      </w:pPr>
      <w:r w:rsidRPr="00407259">
        <w:rPr>
          <w:rFonts w:ascii="Arial" w:eastAsia="Arial" w:hAnsi="Arial" w:cs="Arial"/>
          <w:lang w:val="es-ES" w:eastAsia="es-ES" w:bidi="es-ES"/>
        </w:rPr>
        <w:t>La capacidad residual es una aptitud que se exige a los oferentes con el objetivo de establecer o determinar si estos pueden o no cumplir de manera oportuna y a cabalidad con las obligaciones derivadas del contrato de obra pública, sin que los demás compromisos contractuales que hubieran adquirido les afecte la habilidad de cumplir con el objeto del contrato que está en proceso de selección</w:t>
      </w:r>
      <w:r w:rsidRPr="00407259">
        <w:rPr>
          <w:rFonts w:ascii="Arial" w:eastAsia="Arial" w:hAnsi="Arial" w:cs="Arial"/>
          <w:vertAlign w:val="superscript"/>
          <w:lang w:val="es-ES" w:eastAsia="es-ES" w:bidi="es-ES"/>
        </w:rPr>
        <w:footnoteReference w:id="8"/>
      </w:r>
      <w:r w:rsidRPr="00407259">
        <w:rPr>
          <w:rFonts w:ascii="Arial" w:eastAsia="Arial" w:hAnsi="Arial" w:cs="Arial"/>
          <w:lang w:val="es-ES" w:eastAsia="es-ES" w:bidi="es-ES"/>
        </w:rPr>
        <w:t xml:space="preserve">. </w:t>
      </w:r>
    </w:p>
    <w:p w14:paraId="0DE94A73" w14:textId="77777777" w:rsidR="00FE5775" w:rsidRPr="00407259" w:rsidRDefault="00FE5775" w:rsidP="00FE5775">
      <w:pPr>
        <w:widowControl w:val="0"/>
        <w:autoSpaceDE w:val="0"/>
        <w:autoSpaceDN w:val="0"/>
        <w:spacing w:before="120"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 xml:space="preserve">Teniendo en cuenta lo anterior, la Agencia Nacional de Contratación Pública considera que la capacidad residual hace referencia a la suficiencia que se predica del proponente para asumir nuevas obligaciones que se derivan del contrato objeto del procedimiento de contratación, </w:t>
      </w:r>
      <w:r w:rsidRPr="00407259">
        <w:rPr>
          <w:rFonts w:ascii="Arial" w:eastAsia="Arial" w:hAnsi="Arial" w:cs="Arial"/>
          <w:lang w:val="es-ES" w:eastAsia="es-ES" w:bidi="es-ES"/>
        </w:rPr>
        <w:lastRenderedPageBreak/>
        <w:t>en relación con las obligaciones que ya ha adquirido simultáneamente.</w:t>
      </w:r>
    </w:p>
    <w:p w14:paraId="49D9DA2B" w14:textId="77777777" w:rsidR="00FE5775" w:rsidRPr="00407259" w:rsidRDefault="00FE5775" w:rsidP="00FE5775">
      <w:pPr>
        <w:widowControl w:val="0"/>
        <w:autoSpaceDE w:val="0"/>
        <w:autoSpaceDN w:val="0"/>
        <w:spacing w:after="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La Ley 1150 de 2007 establece que la capacidad residual de los interesados en participar en procesos de selección para contratos de obra deberá ser igual o superior al que la entidad ha establecido en los pliegos de condiciones, en los siguientes términos:</w:t>
      </w:r>
    </w:p>
    <w:p w14:paraId="45938CE5" w14:textId="77777777" w:rsidR="00FE5775" w:rsidRPr="00407259" w:rsidRDefault="00FE5775" w:rsidP="00FE5775">
      <w:pPr>
        <w:widowControl w:val="0"/>
        <w:autoSpaceDE w:val="0"/>
        <w:autoSpaceDN w:val="0"/>
        <w:spacing w:after="0" w:line="240" w:lineRule="auto"/>
        <w:ind w:right="49"/>
        <w:rPr>
          <w:rFonts w:ascii="Arial" w:eastAsia="Arial" w:hAnsi="Arial" w:cs="Arial"/>
          <w:lang w:val="es-ES" w:eastAsia="es-ES" w:bidi="es-ES"/>
        </w:rPr>
      </w:pPr>
    </w:p>
    <w:p w14:paraId="48910EE6" w14:textId="77777777" w:rsidR="00FE5775" w:rsidRPr="00407259" w:rsidRDefault="00FE5775" w:rsidP="00FE5775">
      <w:pPr>
        <w:widowControl w:val="0"/>
        <w:autoSpaceDE w:val="0"/>
        <w:autoSpaceDN w:val="0"/>
        <w:spacing w:after="120" w:line="240" w:lineRule="auto"/>
        <w:ind w:left="709" w:right="709"/>
        <w:jc w:val="both"/>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w:t>
      </w:r>
      <w:r w:rsidRPr="00407259">
        <w:rPr>
          <w:rFonts w:ascii="Arial" w:eastAsia="Arial" w:hAnsi="Arial" w:cs="Arial"/>
          <w:spacing w:val="-3"/>
          <w:sz w:val="21"/>
          <w:szCs w:val="21"/>
          <w:lang w:val="es-ES" w:eastAsia="es-ES" w:bidi="es-ES"/>
        </w:rPr>
        <w:t xml:space="preserve"> </w:t>
      </w:r>
      <w:r w:rsidRPr="00407259">
        <w:rPr>
          <w:rFonts w:ascii="Arial" w:eastAsia="Arial" w:hAnsi="Arial" w:cs="Arial"/>
          <w:sz w:val="21"/>
          <w:szCs w:val="21"/>
          <w:lang w:val="es-ES" w:eastAsia="es-ES" w:bidi="es-ES"/>
        </w:rPr>
        <w:t>principal.</w:t>
      </w:r>
    </w:p>
    <w:p w14:paraId="7FF561FF" w14:textId="77777777" w:rsidR="00FE5775" w:rsidRPr="00407259" w:rsidRDefault="00FE5775" w:rsidP="00FE5775">
      <w:pPr>
        <w:widowControl w:val="0"/>
        <w:autoSpaceDE w:val="0"/>
        <w:autoSpaceDN w:val="0"/>
        <w:spacing w:after="120" w:line="240" w:lineRule="auto"/>
        <w:ind w:left="709" w:right="709"/>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w:t>
      </w:r>
    </w:p>
    <w:p w14:paraId="03BD68AE" w14:textId="77777777" w:rsidR="00FE5775" w:rsidRPr="00407259" w:rsidRDefault="00FE5775" w:rsidP="00FE5775">
      <w:pPr>
        <w:widowControl w:val="0"/>
        <w:autoSpaceDE w:val="0"/>
        <w:autoSpaceDN w:val="0"/>
        <w:spacing w:after="0" w:line="240" w:lineRule="auto"/>
        <w:ind w:left="709" w:right="709"/>
        <w:jc w:val="both"/>
        <w:rPr>
          <w:rFonts w:ascii="Arial" w:eastAsia="Arial" w:hAnsi="Arial" w:cs="Arial"/>
          <w:sz w:val="21"/>
          <w:szCs w:val="21"/>
          <w:lang w:val="es-ES" w:eastAsia="es-ES" w:bidi="es-ES"/>
        </w:rPr>
      </w:pPr>
      <w:r w:rsidRPr="00407259">
        <w:rPr>
          <w:rFonts w:ascii="Arial" w:eastAsia="Arial" w:hAnsi="Arial" w:cs="Arial"/>
          <w:sz w:val="21"/>
          <w:szCs w:val="21"/>
          <w:lang w:val="es-ES" w:eastAsia="es-ES" w:bidi="es-E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14658433" w14:textId="77777777" w:rsidR="00FE5775" w:rsidRPr="00407259" w:rsidRDefault="00FE5775" w:rsidP="00FE5775">
      <w:pPr>
        <w:widowControl w:val="0"/>
        <w:autoSpaceDE w:val="0"/>
        <w:autoSpaceDN w:val="0"/>
        <w:spacing w:after="0" w:line="240" w:lineRule="auto"/>
        <w:ind w:right="49"/>
        <w:rPr>
          <w:rFonts w:ascii="Arial" w:eastAsia="Arial" w:hAnsi="Arial" w:cs="Arial"/>
          <w:lang w:val="es-ES" w:eastAsia="es-ES" w:bidi="es-ES"/>
        </w:rPr>
      </w:pPr>
    </w:p>
    <w:p w14:paraId="158D59B8" w14:textId="77777777" w:rsidR="00FE5775" w:rsidRPr="00407259" w:rsidRDefault="00FE5775" w:rsidP="00FE5775">
      <w:pPr>
        <w:widowControl w:val="0"/>
        <w:autoSpaceDE w:val="0"/>
        <w:autoSpaceDN w:val="0"/>
        <w:spacing w:before="1" w:after="0" w:line="276" w:lineRule="auto"/>
        <w:ind w:right="49" w:firstLine="708"/>
        <w:jc w:val="both"/>
        <w:rPr>
          <w:rFonts w:ascii="Arial" w:eastAsia="Arial" w:hAnsi="Arial" w:cs="Arial"/>
          <w:lang w:val="es-ES" w:eastAsia="es-ES" w:bidi="es-ES"/>
        </w:rPr>
      </w:pPr>
      <w:r w:rsidRPr="00407259">
        <w:rPr>
          <w:rFonts w:ascii="Arial" w:eastAsia="Arial" w:hAnsi="Arial" w:cs="Arial"/>
          <w:lang w:val="es-ES" w:eastAsia="es-ES" w:bidi="es-ES"/>
        </w:rPr>
        <w:t>El artículo 72 de la Ley 1682 de 2013, por la cual se adoptan medidas y disposiciones para los proyectos de infraestructura de transporte, establece que la “capacidad residual de contratación cuando se realicen contratos de obra pública se obtendrá de sustraer de la capacidad de contratación, el saldo del valor de los contratos en ejecución”. La “capacidad de contratación”, según esta disposición, “[…] se deberá calcular mediante la evaluación de los siguientes factores: Experiencia (E), Capacidad Financiera (CF), Capacidad Técnica (CT), y Capacidad de Organización (CO)”.</w:t>
      </w:r>
    </w:p>
    <w:p w14:paraId="6AB79C5E" w14:textId="77777777" w:rsidR="00FE5775" w:rsidRPr="00407259" w:rsidRDefault="00FE5775" w:rsidP="00FE5775">
      <w:pPr>
        <w:spacing w:before="120" w:after="120" w:line="276" w:lineRule="auto"/>
        <w:ind w:firstLine="709"/>
        <w:jc w:val="both"/>
        <w:rPr>
          <w:rFonts w:ascii="Arial" w:eastAsia="Calibri" w:hAnsi="Arial" w:cs="Arial"/>
          <w:color w:val="000000"/>
          <w:lang w:val="es-MX" w:eastAsia="en-GB"/>
        </w:rPr>
      </w:pPr>
      <w:r w:rsidRPr="00407259">
        <w:rPr>
          <w:rFonts w:ascii="Arial" w:eastAsia="Calibri" w:hAnsi="Arial" w:cs="Arial"/>
          <w:color w:val="000000"/>
          <w:lang w:val="es-MX" w:eastAsia="en-GB"/>
        </w:rPr>
        <w:t>Por su parte, el artículo 2.2.1.1.1.6.4 del Decreto 1082 de 2015 dispone que las entidades estatales deberán calcular la capacidad residual conforme a la metodología definida por Colombia Compre Eficiente. Para tale fines, resulta necesario tener en cuenta los factores de i) Experiencia –E–, ii) Capacidad Financiera –CF–, iii) Capacidad Técnica –CT–, iv) Capacidad de Organización y v) los Saldos de los Contratos en Ejecución –SCE–</w:t>
      </w:r>
      <w:r w:rsidRPr="00407259">
        <w:rPr>
          <w:rFonts w:ascii="Arial" w:eastAsia="Calibri" w:hAnsi="Arial" w:cs="Arial"/>
          <w:color w:val="000000"/>
          <w:vertAlign w:val="superscript"/>
          <w:lang w:val="es-MX" w:eastAsia="en-GB"/>
        </w:rPr>
        <w:footnoteReference w:id="9"/>
      </w:r>
      <w:r w:rsidRPr="00407259">
        <w:rPr>
          <w:rFonts w:ascii="Arial" w:eastAsia="Calibri" w:hAnsi="Arial" w:cs="Arial"/>
          <w:color w:val="000000"/>
          <w:lang w:val="es-MX" w:eastAsia="en-GB"/>
        </w:rPr>
        <w:t>.</w:t>
      </w:r>
    </w:p>
    <w:p w14:paraId="20F6A8A7" w14:textId="0F26B555" w:rsidR="00FE5775" w:rsidRDefault="00FE5775" w:rsidP="00FE5775">
      <w:pPr>
        <w:spacing w:before="120" w:after="120" w:line="276" w:lineRule="auto"/>
        <w:ind w:firstLine="709"/>
        <w:jc w:val="both"/>
        <w:rPr>
          <w:rFonts w:ascii="Arial" w:eastAsia="Times New Roman" w:hAnsi="Arial" w:cs="Arial"/>
          <w:lang w:val="es-MX" w:eastAsia="en-GB"/>
        </w:rPr>
      </w:pPr>
      <w:r w:rsidRPr="00407259">
        <w:rPr>
          <w:rFonts w:ascii="Arial" w:eastAsia="Calibri" w:hAnsi="Arial" w:cs="Arial"/>
          <w:color w:val="000000"/>
          <w:lang w:val="es-MX" w:eastAsia="en-GB"/>
        </w:rPr>
        <w:t xml:space="preserve">De igual manera, </w:t>
      </w:r>
      <w:r w:rsidRPr="00407259">
        <w:rPr>
          <w:rFonts w:ascii="Arial" w:eastAsia="Times New Roman" w:hAnsi="Arial" w:cs="Arial"/>
          <w:lang w:val="es-MX" w:eastAsia="en-GB"/>
        </w:rPr>
        <w:t xml:space="preserve">establece que el interesado en celebrar contratos de obra pública acreditará su capacidad residual con los siguientes documentos: i) la lista de los contratos de obras civiles en ejecución suscritos con entidades estatales y con entidades privadas; ii) la lista de contratos de obras civiles en ejecución, suscritos por sociedades, consorcios o uniones temporales, en los cuales el proponente tenga participación, con entidades estatales y con </w:t>
      </w:r>
      <w:r w:rsidRPr="00407259">
        <w:rPr>
          <w:rFonts w:ascii="Arial" w:eastAsia="Times New Roman" w:hAnsi="Arial" w:cs="Arial"/>
          <w:lang w:val="es-MX" w:eastAsia="en-GB"/>
        </w:rPr>
        <w:lastRenderedPageBreak/>
        <w:t>entidades privadas; y finalmente iii) el balance general auditado del año inmediatamente anterior y estado de resultados auditado del año en que haya obtenido el mayor ingreso operacional en los últimos cinco (5) años</w:t>
      </w:r>
      <w:r w:rsidRPr="00407259">
        <w:rPr>
          <w:rFonts w:ascii="Arial" w:eastAsia="Times New Roman" w:hAnsi="Arial" w:cs="Arial"/>
          <w:vertAlign w:val="superscript"/>
          <w:lang w:val="es-MX" w:eastAsia="en-GB"/>
        </w:rPr>
        <w:footnoteReference w:id="10"/>
      </w:r>
      <w:r w:rsidRPr="00407259">
        <w:rPr>
          <w:rFonts w:ascii="Arial" w:eastAsia="Times New Roman" w:hAnsi="Arial" w:cs="Arial"/>
          <w:lang w:val="es-MX" w:eastAsia="en-GB"/>
        </w:rPr>
        <w:t xml:space="preserve">. </w:t>
      </w:r>
      <w:r w:rsidR="00DB13E2">
        <w:rPr>
          <w:rFonts w:ascii="Arial" w:eastAsia="Times New Roman" w:hAnsi="Arial" w:cs="Arial"/>
          <w:lang w:val="es-MX" w:eastAsia="en-GB"/>
        </w:rPr>
        <w:t>Al respecto, se debe tener en cuenta lo siguientes criterios para la acreditación de la Capacidad Residual.</w:t>
      </w:r>
    </w:p>
    <w:p w14:paraId="31B0D4BA" w14:textId="11593716" w:rsidR="00FE5775" w:rsidRPr="00407259" w:rsidRDefault="00846AAC" w:rsidP="00FE5775">
      <w:pPr>
        <w:spacing w:after="120" w:line="276" w:lineRule="auto"/>
        <w:ind w:firstLine="703"/>
        <w:jc w:val="both"/>
        <w:textAlignment w:val="baseline"/>
        <w:rPr>
          <w:rFonts w:ascii="Arial" w:eastAsia="Calibri" w:hAnsi="Arial" w:cs="Arial"/>
          <w:b/>
          <w:bCs/>
          <w:lang w:val="es-MX"/>
        </w:rPr>
      </w:pPr>
      <w:bookmarkStart w:id="3" w:name="_Hlk121298060"/>
      <w:r>
        <w:rPr>
          <w:rFonts w:ascii="Arial" w:eastAsia="Calibri" w:hAnsi="Arial" w:cs="Arial"/>
          <w:b/>
          <w:bCs/>
          <w:lang w:val="es-MX"/>
        </w:rPr>
        <w:t>A</w:t>
      </w:r>
      <w:r w:rsidR="00FE5775" w:rsidRPr="00407259">
        <w:rPr>
          <w:rFonts w:ascii="Arial" w:eastAsia="Calibri" w:hAnsi="Arial" w:cs="Arial"/>
          <w:b/>
          <w:bCs/>
          <w:lang w:val="es-MX"/>
        </w:rPr>
        <w:t>) Forma de acreditación de la Capacidad Residual por parte del Proponente</w:t>
      </w:r>
      <w:bookmarkEnd w:id="3"/>
    </w:p>
    <w:p w14:paraId="67DDB70A" w14:textId="77777777" w:rsidR="00FE5775" w:rsidRPr="00407259" w:rsidRDefault="00FE5775" w:rsidP="00FE5775">
      <w:pPr>
        <w:spacing w:after="120" w:line="276" w:lineRule="auto"/>
        <w:ind w:firstLine="703"/>
        <w:jc w:val="both"/>
        <w:textAlignment w:val="baseline"/>
        <w:rPr>
          <w:rFonts w:ascii="Arial" w:eastAsia="Times New Roman" w:hAnsi="Arial" w:cs="Arial"/>
          <w:lang w:eastAsia="es-ES"/>
        </w:rPr>
      </w:pPr>
      <w:r w:rsidRPr="00407259">
        <w:rPr>
          <w:rFonts w:ascii="Arial" w:eastAsia="Times New Roman" w:hAnsi="Arial" w:cs="Arial"/>
          <w:lang w:eastAsia="es-CO"/>
        </w:rPr>
        <w:t>El artículo 6 de la Ley 1150 de 2007 establece que todas las personas naturales o jurídicas nacionales o extranjeras domiciliadas o con sucursal en Colombia, que aspiren a celebrar contratos con las entidades estatales, deben estar inscritas en el Registro Único de Proponentes – en adelante RUP– de la Cámara de Comercio con jurisdicción en su domicilio principal. En dicho registro constará la información relacionada con la experiencia, capacidad jurídica, financiera y de organización del proponente, es decir, la verificación de dichos requisitos habilitantes se demostrará exclusivamente con el RUP, donde deben constar dichas condiciones. En consecuencia, las Entidades Estales, en los Procedimientos de Contratación, no podrán exigir, ni los proponentes aportar, documentación que deba utilizarse para efectuar la inscripción en el registro.  </w:t>
      </w:r>
    </w:p>
    <w:p w14:paraId="3FC3E1CF" w14:textId="77777777" w:rsidR="00FE5775" w:rsidRPr="00407259" w:rsidRDefault="00FE5775" w:rsidP="00FE5775">
      <w:pPr>
        <w:tabs>
          <w:tab w:val="left" w:pos="426"/>
        </w:tabs>
        <w:spacing w:after="120" w:line="276" w:lineRule="auto"/>
        <w:ind w:firstLine="703"/>
        <w:jc w:val="both"/>
        <w:rPr>
          <w:rFonts w:ascii="Arial" w:hAnsi="Arial" w:cs="Arial"/>
          <w:lang w:val="es-MX"/>
        </w:rPr>
      </w:pPr>
      <w:r w:rsidRPr="00407259">
        <w:rPr>
          <w:rFonts w:ascii="Arial" w:hAnsi="Arial" w:cs="Arial"/>
          <w:lang w:val="es-MX"/>
        </w:rPr>
        <w:t>Conforme a lo anterior, la Ley 1150 de 2007 establece que los requisitos habilitantes de experiencia, capacidad jurídica, financiera y de organización se acreditarán conforme a lo contenido en el RUP. Respecto a la acreditación de la Capacidad Residual, como esta no se realiza totalmente conforme al contenido del RUP, las Entidades deben exigir los documentos previstos en el artículo 2.2.1.1.1.6.4. del Decreto 1082 de 2015, relacionados con anterioridad, siempre y cuando no sea información que el proponente haya aportado, con anterioridad, para inscribirse en el RUP.</w:t>
      </w:r>
    </w:p>
    <w:p w14:paraId="58BAA09C" w14:textId="77777777" w:rsidR="00FE5775" w:rsidRPr="00407259" w:rsidRDefault="00FE5775" w:rsidP="00FE5775">
      <w:pPr>
        <w:tabs>
          <w:tab w:val="left" w:pos="426"/>
        </w:tabs>
        <w:spacing w:after="120" w:line="276" w:lineRule="auto"/>
        <w:ind w:firstLine="703"/>
        <w:jc w:val="both"/>
        <w:rPr>
          <w:rFonts w:ascii="Arial" w:eastAsia="Times New Roman" w:hAnsi="Arial" w:cs="Arial"/>
          <w:bCs/>
          <w:lang w:val="es-MX" w:eastAsia="x-none"/>
        </w:rPr>
      </w:pPr>
      <w:r w:rsidRPr="00407259">
        <w:rPr>
          <w:rFonts w:ascii="Arial" w:eastAsia="Times New Roman" w:hAnsi="Arial" w:cs="Arial"/>
          <w:bCs/>
          <w:lang w:val="es-MX" w:eastAsia="x-none"/>
        </w:rPr>
        <w:t xml:space="preserve">Así las cosas, la Entidad Estatal, como directora de los Procesos de Contratación que adelanta, debe señalar en el pliego de condiciones–o en la Invitación– cuál es la información que se debe acreditar para el cálculo de la Capacidad Residual, así como los documentos que tendrá </w:t>
      </w:r>
      <w:r w:rsidRPr="00407259">
        <w:rPr>
          <w:rFonts w:ascii="Arial" w:eastAsia="Times New Roman" w:hAnsi="Arial" w:cs="Arial"/>
          <w:bCs/>
          <w:lang w:val="es-MX" w:eastAsia="x-none"/>
        </w:rPr>
        <w:lastRenderedPageBreak/>
        <w:t xml:space="preserve">como válidos para tal fin. En consecuencia, el proponente deberá ceñirse a lo dispuesto por la Entidad y allegar toda información ordenada, en los términos y la forma en que hayan sido señalados, con el fin de que la Entidad pueda calcular la Capacidad Residual del proponente y verificar si cumple o no con la requerida en el Proceso de Contratación que adelanta. </w:t>
      </w:r>
    </w:p>
    <w:p w14:paraId="0AB0556B" w14:textId="2C5D4B81" w:rsidR="00FE5775" w:rsidRPr="00407259" w:rsidRDefault="00846AAC" w:rsidP="00FE5775">
      <w:pPr>
        <w:tabs>
          <w:tab w:val="left" w:pos="426"/>
        </w:tabs>
        <w:spacing w:after="120" w:line="276" w:lineRule="auto"/>
        <w:ind w:firstLine="703"/>
        <w:jc w:val="both"/>
        <w:rPr>
          <w:rFonts w:ascii="Arial" w:hAnsi="Arial" w:cs="Arial"/>
          <w:b/>
          <w:lang w:val="es-MX"/>
        </w:rPr>
      </w:pPr>
      <w:r>
        <w:rPr>
          <w:rFonts w:ascii="Arial" w:eastAsia="Times New Roman" w:hAnsi="Arial" w:cs="Arial"/>
          <w:b/>
          <w:lang w:val="es-MX" w:eastAsia="x-none"/>
        </w:rPr>
        <w:t>B</w:t>
      </w:r>
      <w:r w:rsidR="00FE5775" w:rsidRPr="00407259">
        <w:rPr>
          <w:rFonts w:ascii="Arial" w:eastAsia="Times New Roman" w:hAnsi="Arial" w:cs="Arial"/>
          <w:b/>
          <w:lang w:val="es-MX" w:eastAsia="x-none"/>
        </w:rPr>
        <w:t xml:space="preserve">) </w:t>
      </w:r>
      <w:r w:rsidR="00FE5775" w:rsidRPr="00407259">
        <w:rPr>
          <w:rFonts w:ascii="Arial" w:eastAsia="Times New Roman" w:hAnsi="Arial" w:cs="Arial"/>
          <w:b/>
          <w:color w:val="000000"/>
          <w:lang w:val="es-MX" w:eastAsia="en-GB"/>
        </w:rPr>
        <w:t>Guía para Determinar y Verificar la Capacidad Residual del Proponente en los Procesos de Contratación de Obra Pública</w:t>
      </w:r>
    </w:p>
    <w:p w14:paraId="29C9AE0F" w14:textId="77777777" w:rsidR="00FE5775" w:rsidRPr="00407259" w:rsidRDefault="00FE5775" w:rsidP="00FE5775">
      <w:pPr>
        <w:spacing w:before="120" w:after="120" w:line="276" w:lineRule="auto"/>
        <w:ind w:firstLine="709"/>
        <w:jc w:val="both"/>
        <w:rPr>
          <w:rFonts w:ascii="Arial" w:eastAsia="Calibri" w:hAnsi="Arial" w:cs="Arial"/>
          <w:bCs/>
          <w:color w:val="000000"/>
          <w:lang w:eastAsia="en-GB"/>
        </w:rPr>
      </w:pPr>
      <w:r w:rsidRPr="00407259">
        <w:rPr>
          <w:rFonts w:ascii="Arial" w:eastAsia="Times New Roman" w:hAnsi="Arial" w:cs="Arial"/>
          <w:color w:val="000000"/>
          <w:lang w:val="es-MX" w:eastAsia="en-GB"/>
        </w:rPr>
        <w:t>De conformidad con lo expuesto, la Agencia Nacional de Contratación Pública – Colombia Compra Eficiente expidió la Guía para Determinar y Verificar la Capacidad Residual del Proponente en los Procesos de Contratación de Obra Pública. Este documento establece, entre otras cuestiones, que a la entidad contratante le corresponde, primero, establecer la capacidad residual del proceso de contratación “CRPC” y, segundo, determinar si los proponentes cumplen con la capacidad residual del proceso de contratación, teniendo en cuenta la información mencionada en el párrafo precedente.</w:t>
      </w:r>
    </w:p>
    <w:p w14:paraId="3927342A" w14:textId="77777777" w:rsidR="00FE5775" w:rsidRPr="00407259" w:rsidRDefault="00FE5775" w:rsidP="00FE5775">
      <w:pPr>
        <w:spacing w:after="0" w:line="276" w:lineRule="auto"/>
        <w:ind w:firstLine="709"/>
        <w:jc w:val="both"/>
        <w:rPr>
          <w:rFonts w:ascii="Arial" w:eastAsia="Calibri" w:hAnsi="Arial" w:cs="Arial"/>
          <w:bCs/>
          <w:color w:val="000000"/>
          <w:lang w:eastAsia="en-GB"/>
        </w:rPr>
      </w:pPr>
      <w:r w:rsidRPr="00407259">
        <w:rPr>
          <w:rFonts w:ascii="Arial" w:eastAsia="Calibri" w:hAnsi="Arial" w:cs="Arial"/>
          <w:bCs/>
          <w:color w:val="000000"/>
          <w:lang w:eastAsia="en-GB"/>
        </w:rPr>
        <w:t>En relación con el primer aspecto, sobre la determinación de la capacidad residual del proceso de contratación “CRPC”, debe determinarse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30090A5F" w14:textId="77777777" w:rsidR="00FE5775" w:rsidRPr="00407259" w:rsidRDefault="00FE5775" w:rsidP="00FE5775">
      <w:pPr>
        <w:spacing w:before="120" w:after="0" w:line="276" w:lineRule="auto"/>
        <w:ind w:firstLine="709"/>
        <w:jc w:val="both"/>
        <w:rPr>
          <w:rFonts w:ascii="Arial" w:eastAsia="Calibri" w:hAnsi="Arial" w:cs="Arial"/>
          <w:bCs/>
          <w:color w:val="000000"/>
          <w:lang w:eastAsia="en-GB"/>
        </w:rPr>
      </w:pPr>
      <w:r w:rsidRPr="00407259">
        <w:rPr>
          <w:rFonts w:ascii="Arial" w:eastAsia="Calibri" w:hAnsi="Arial" w:cs="Arial"/>
          <w:bCs/>
          <w:color w:val="000000"/>
          <w:lang w:eastAsia="en-GB"/>
        </w:rPr>
        <w:t xml:space="preserve">En cuanto al segundo aspecto, sobre la validación de </w:t>
      </w:r>
      <w:bookmarkStart w:id="4" w:name="_Hlk68683272"/>
      <w:r w:rsidRPr="00407259">
        <w:rPr>
          <w:rFonts w:ascii="Arial" w:eastAsia="Calibri" w:hAnsi="Arial" w:cs="Arial"/>
          <w:bCs/>
          <w:color w:val="000000"/>
          <w:lang w:eastAsia="en-GB"/>
        </w:rPr>
        <w:t>que cada proponente cumpla con la CRPC</w:t>
      </w:r>
      <w:bookmarkEnd w:id="4"/>
      <w:r w:rsidRPr="00407259">
        <w:rPr>
          <w:rFonts w:ascii="Arial" w:eastAsia="Calibri" w:hAnsi="Arial" w:cs="Arial"/>
          <w:bCs/>
          <w:color w:val="000000"/>
          <w:lang w:eastAsia="en-GB"/>
        </w:rPr>
        <w:t>, la entidad pública debe verificar que la capacidad residual del proponente “CRP” sea igual o superior a la capacidad referida en el párrafo precedente. De todas formas, previamente debe establecer la CRP, con fundamento en los siguientes factores: i) experiencia “E”; ii) capacidad financiera “CF”; iii) capacidad técnica “CT”, iv) capacidad de organización “CO”; y v) los saldos de los contratos en ejecución “SCE”, según la siguiente formula:</w:t>
      </w:r>
    </w:p>
    <w:p w14:paraId="65DFB38E" w14:textId="77777777" w:rsidR="00FE5775" w:rsidRPr="00407259" w:rsidRDefault="00FE5775" w:rsidP="00FE5775">
      <w:pPr>
        <w:spacing w:after="0" w:line="276" w:lineRule="auto"/>
        <w:ind w:firstLine="709"/>
        <w:jc w:val="both"/>
        <w:rPr>
          <w:rFonts w:ascii="Arial" w:eastAsia="Calibri" w:hAnsi="Arial" w:cs="Arial"/>
          <w:bCs/>
          <w:color w:val="000000"/>
          <w:sz w:val="24"/>
          <w:szCs w:val="24"/>
          <w:lang w:eastAsia="en-GB"/>
        </w:rPr>
      </w:pPr>
      <w:r w:rsidRPr="00407259">
        <w:rPr>
          <w:rFonts w:ascii="Arial" w:eastAsia="Calibri" w:hAnsi="Arial" w:cs="Arial"/>
          <w:bCs/>
          <w:noProof/>
          <w:color w:val="000000"/>
          <w:sz w:val="24"/>
          <w:szCs w:val="24"/>
          <w:lang w:eastAsia="en-GB"/>
        </w:rPr>
        <w:drawing>
          <wp:anchor distT="0" distB="0" distL="0" distR="0" simplePos="0" relativeHeight="251660800" behindDoc="0" locked="0" layoutInCell="1" allowOverlap="1" wp14:anchorId="43A23EAD" wp14:editId="424B3D67">
            <wp:simplePos x="0" y="0"/>
            <wp:positionH relativeFrom="margin">
              <wp:align>center</wp:align>
            </wp:positionH>
            <wp:positionV relativeFrom="paragraph">
              <wp:posOffset>222250</wp:posOffset>
            </wp:positionV>
            <wp:extent cx="4638040" cy="552450"/>
            <wp:effectExtent l="0" t="0" r="0" b="0"/>
            <wp:wrapTopAndBottom/>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51F82EA5" w14:textId="77777777" w:rsidR="00FE5775" w:rsidRPr="00407259" w:rsidRDefault="00FE5775" w:rsidP="00FE5775">
      <w:pPr>
        <w:widowControl w:val="0"/>
        <w:autoSpaceDE w:val="0"/>
        <w:autoSpaceDN w:val="0"/>
        <w:spacing w:before="120" w:after="0" w:line="276" w:lineRule="auto"/>
        <w:ind w:right="51" w:firstLine="709"/>
        <w:jc w:val="both"/>
        <w:rPr>
          <w:rFonts w:ascii="Arial" w:eastAsia="Arial" w:hAnsi="Arial" w:cs="Arial"/>
          <w:lang w:val="es-ES" w:eastAsia="es-ES" w:bidi="es-ES"/>
        </w:rPr>
      </w:pPr>
    </w:p>
    <w:p w14:paraId="39224489" w14:textId="77777777" w:rsidR="00FE5775" w:rsidRPr="00407259" w:rsidRDefault="00FE5775" w:rsidP="00FE5775">
      <w:pPr>
        <w:widowControl w:val="0"/>
        <w:autoSpaceDE w:val="0"/>
        <w:autoSpaceDN w:val="0"/>
        <w:spacing w:after="120" w:line="276" w:lineRule="auto"/>
        <w:ind w:firstLine="709"/>
        <w:jc w:val="both"/>
        <w:rPr>
          <w:rFonts w:ascii="Arial" w:eastAsia="Arial" w:hAnsi="Arial" w:cs="Arial"/>
        </w:rPr>
      </w:pPr>
      <w:r w:rsidRPr="00407259">
        <w:rPr>
          <w:rFonts w:ascii="Arial" w:eastAsia="Arial" w:hAnsi="Arial" w:cs="Arial"/>
          <w:lang w:val="es-ES" w:eastAsia="es-ES" w:bidi="es-ES"/>
        </w:rPr>
        <w:t xml:space="preserve">A cada uno de estos factores se les asigna el siguiente puntaje máximo: i) “E” 120; ii) “CF” 40; y iii) “CT” 40. La “CO” no tiene asignación de puntaje en la fórmula, por un lado, porque su unidad de medida es en pesos colombianos “COP” y, por el otro, debido a que el mismo constituye un factor multiplicador de los demás factores en la fórmula. </w:t>
      </w:r>
      <w:r w:rsidRPr="00407259">
        <w:rPr>
          <w:rFonts w:ascii="Arial" w:eastAsia="Arial" w:hAnsi="Arial" w:cs="Arial"/>
        </w:rPr>
        <w:t>A continuación, se explicará, en términos generales, cómo calcular cada factor:</w:t>
      </w:r>
    </w:p>
    <w:p w14:paraId="72AC1861" w14:textId="77777777" w:rsidR="00FE5775" w:rsidRPr="00407259" w:rsidRDefault="00FE5775" w:rsidP="00FE5775">
      <w:pPr>
        <w:widowControl w:val="0"/>
        <w:numPr>
          <w:ilvl w:val="0"/>
          <w:numId w:val="10"/>
        </w:numPr>
        <w:tabs>
          <w:tab w:val="left" w:pos="993"/>
        </w:tabs>
        <w:autoSpaceDE w:val="0"/>
        <w:autoSpaceDN w:val="0"/>
        <w:spacing w:after="120" w:line="276" w:lineRule="auto"/>
        <w:ind w:firstLine="709"/>
        <w:jc w:val="both"/>
        <w:rPr>
          <w:rFonts w:ascii="Arial" w:eastAsia="Arial" w:hAnsi="Arial" w:cs="Arial"/>
          <w:i/>
          <w:iCs/>
        </w:rPr>
      </w:pPr>
      <w:r w:rsidRPr="00407259">
        <w:rPr>
          <w:rFonts w:ascii="Arial" w:eastAsia="Arial" w:hAnsi="Arial" w:cs="Arial"/>
          <w:b/>
          <w:bCs/>
        </w:rPr>
        <w:t>Capacidad financiera (CF).</w:t>
      </w:r>
      <w:r w:rsidRPr="00407259">
        <w:rPr>
          <w:rFonts w:ascii="Arial" w:eastAsia="Arial" w:hAnsi="Arial" w:cs="Arial"/>
        </w:rPr>
        <w:t xml:space="preserve"> Se mide por el </w:t>
      </w:r>
      <w:r w:rsidRPr="00407259">
        <w:rPr>
          <w:rFonts w:ascii="Arial" w:eastAsia="Arial" w:hAnsi="Arial" w:cs="Arial"/>
          <w:i/>
          <w:iCs/>
        </w:rPr>
        <w:t>“índice de liquidez”</w:t>
      </w:r>
      <w:r w:rsidRPr="00407259">
        <w:rPr>
          <w:rFonts w:ascii="Arial" w:eastAsia="Arial" w:hAnsi="Arial" w:cs="Arial"/>
        </w:rPr>
        <w:t xml:space="preserve"> y este, a su vez, corresponde al resultado de dividir el </w:t>
      </w:r>
      <w:r w:rsidRPr="00407259">
        <w:rPr>
          <w:rFonts w:ascii="Arial" w:eastAsia="Arial" w:hAnsi="Arial" w:cs="Arial"/>
          <w:i/>
          <w:iCs/>
        </w:rPr>
        <w:t>“activo corriente”</w:t>
      </w:r>
      <w:r w:rsidRPr="00407259">
        <w:rPr>
          <w:rFonts w:ascii="Arial" w:eastAsia="Arial" w:hAnsi="Arial" w:cs="Arial"/>
        </w:rPr>
        <w:t xml:space="preserve"> sobre el “</w:t>
      </w:r>
      <w:r w:rsidRPr="00407259">
        <w:rPr>
          <w:rFonts w:ascii="Arial" w:eastAsia="Arial" w:hAnsi="Arial" w:cs="Arial"/>
          <w:i/>
          <w:iCs/>
        </w:rPr>
        <w:t>pasivo corriente”.</w:t>
      </w:r>
      <w:r w:rsidRPr="00407259">
        <w:rPr>
          <w:rFonts w:ascii="Arial" w:eastAsia="Arial" w:hAnsi="Arial" w:cs="Arial"/>
        </w:rPr>
        <w:t xml:space="preserve"> El resultado puede ser calificado entre veinte (20) y cuarenta </w:t>
      </w:r>
      <w:r w:rsidRPr="00407259">
        <w:rPr>
          <w:rFonts w:ascii="Arial" w:eastAsia="Arial" w:hAnsi="Arial" w:cs="Arial"/>
        </w:rPr>
        <w:lastRenderedPageBreak/>
        <w:t>(40) puntos, según se explica en la Guía.</w:t>
      </w:r>
    </w:p>
    <w:p w14:paraId="4F302E8F" w14:textId="77777777" w:rsidR="00FE5775" w:rsidRPr="00407259" w:rsidRDefault="00FE5775" w:rsidP="00FE5775">
      <w:pPr>
        <w:widowControl w:val="0"/>
        <w:numPr>
          <w:ilvl w:val="0"/>
          <w:numId w:val="10"/>
        </w:numPr>
        <w:tabs>
          <w:tab w:val="left" w:pos="993"/>
        </w:tabs>
        <w:autoSpaceDE w:val="0"/>
        <w:autoSpaceDN w:val="0"/>
        <w:spacing w:after="120" w:line="276" w:lineRule="auto"/>
        <w:ind w:firstLine="709"/>
        <w:jc w:val="both"/>
        <w:rPr>
          <w:rFonts w:ascii="Arial" w:eastAsia="Arial" w:hAnsi="Arial" w:cs="Arial"/>
          <w:i/>
          <w:iCs/>
        </w:rPr>
      </w:pPr>
      <w:r w:rsidRPr="00407259">
        <w:rPr>
          <w:rFonts w:ascii="Arial" w:eastAsia="Arial" w:hAnsi="Arial" w:cs="Arial"/>
          <w:b/>
          <w:bCs/>
        </w:rPr>
        <w:t>Capacidad técnica (CT).</w:t>
      </w:r>
      <w:r w:rsidRPr="00407259">
        <w:rPr>
          <w:rFonts w:ascii="Arial" w:eastAsia="Arial" w:hAnsi="Arial" w:cs="Arial"/>
        </w:rPr>
        <w:t xml:space="preserve"> Se determina teniendo en cuenta el número de socios y profesionales de la arquitectura, ingeniería y geología vinculados mediante una relación laboral o contractual. El puntaje por asignar, según la Guía, oscila entre veinte (20) y cuarenta (40) puntos. Para tales fines, se aclara, el proponente debe diligenciar el Anexo 2 de la “Guía para Determinar y Verificar la Capacidad Residual del Proponente en los Procesos de Contratación de Obra Pública”.</w:t>
      </w:r>
    </w:p>
    <w:p w14:paraId="0676FE64" w14:textId="77777777" w:rsidR="00FE5775" w:rsidRPr="00407259" w:rsidRDefault="00FE5775" w:rsidP="00FE5775">
      <w:pPr>
        <w:widowControl w:val="0"/>
        <w:numPr>
          <w:ilvl w:val="0"/>
          <w:numId w:val="10"/>
        </w:numPr>
        <w:tabs>
          <w:tab w:val="left" w:pos="993"/>
        </w:tabs>
        <w:autoSpaceDE w:val="0"/>
        <w:autoSpaceDN w:val="0"/>
        <w:spacing w:after="0" w:line="276" w:lineRule="auto"/>
        <w:ind w:firstLine="709"/>
        <w:jc w:val="both"/>
        <w:rPr>
          <w:rFonts w:ascii="Arial" w:eastAsia="Arial" w:hAnsi="Arial" w:cs="Arial"/>
          <w:i/>
          <w:iCs/>
        </w:rPr>
      </w:pPr>
      <w:r w:rsidRPr="00407259">
        <w:rPr>
          <w:rFonts w:ascii="Arial" w:eastAsia="Arial" w:hAnsi="Arial" w:cs="Arial"/>
          <w:b/>
          <w:bCs/>
        </w:rPr>
        <w:t>Capacidad de organización (CO).</w:t>
      </w:r>
      <w:r w:rsidRPr="00407259">
        <w:rPr>
          <w:rFonts w:ascii="Arial" w:eastAsia="Arial" w:hAnsi="Arial" w:cs="Arial"/>
        </w:rPr>
        <w:t xml:space="preserve"> Corresponde a los ingresos operacionales, según el siguiente cuadro:</w:t>
      </w:r>
    </w:p>
    <w:p w14:paraId="1E09FF06" w14:textId="77777777" w:rsidR="00FE5775" w:rsidRPr="00407259" w:rsidRDefault="00FE5775" w:rsidP="00FE5775">
      <w:pPr>
        <w:widowControl w:val="0"/>
        <w:tabs>
          <w:tab w:val="left" w:pos="993"/>
        </w:tabs>
        <w:autoSpaceDE w:val="0"/>
        <w:autoSpaceDN w:val="0"/>
        <w:spacing w:after="0" w:line="276" w:lineRule="auto"/>
        <w:ind w:left="709"/>
        <w:jc w:val="both"/>
        <w:rPr>
          <w:rFonts w:ascii="Arial" w:eastAsia="Arial" w:hAnsi="Arial" w:cs="Arial"/>
          <w:i/>
          <w:iCs/>
        </w:rPr>
      </w:pPr>
    </w:p>
    <w:tbl>
      <w:tblPr>
        <w:tblStyle w:val="Tablaconcuadrcula"/>
        <w:tblW w:w="7366" w:type="dxa"/>
        <w:jc w:val="center"/>
        <w:tblLook w:val="04A0" w:firstRow="1" w:lastRow="0" w:firstColumn="1" w:lastColumn="0" w:noHBand="0" w:noVBand="1"/>
      </w:tblPr>
      <w:tblGrid>
        <w:gridCol w:w="4053"/>
        <w:gridCol w:w="3313"/>
      </w:tblGrid>
      <w:tr w:rsidR="00FE5775" w:rsidRPr="00407259" w14:paraId="0ADC8192" w14:textId="77777777" w:rsidTr="00415AC1">
        <w:trPr>
          <w:jc w:val="center"/>
        </w:trPr>
        <w:tc>
          <w:tcPr>
            <w:tcW w:w="4053" w:type="dxa"/>
            <w:shd w:val="clear" w:color="auto" w:fill="D9D9D9" w:themeFill="background1" w:themeFillShade="D9"/>
          </w:tcPr>
          <w:p w14:paraId="0089419B" w14:textId="77777777" w:rsidR="00FE5775" w:rsidRPr="00407259" w:rsidRDefault="00FE5775" w:rsidP="00415AC1">
            <w:pPr>
              <w:widowControl w:val="0"/>
              <w:tabs>
                <w:tab w:val="left" w:pos="993"/>
              </w:tabs>
              <w:autoSpaceDE w:val="0"/>
              <w:autoSpaceDN w:val="0"/>
              <w:ind w:right="51"/>
              <w:contextualSpacing/>
              <w:jc w:val="center"/>
              <w:rPr>
                <w:rFonts w:ascii="Arial" w:eastAsia="Arial" w:hAnsi="Arial" w:cs="Arial"/>
                <w:b/>
                <w:bCs/>
              </w:rPr>
            </w:pPr>
            <w:r w:rsidRPr="00407259">
              <w:rPr>
                <w:rFonts w:ascii="Arial" w:eastAsia="Arial" w:hAnsi="Arial" w:cs="Arial"/>
                <w:b/>
                <w:bCs/>
              </w:rPr>
              <w:t>Años de información financiera</w:t>
            </w:r>
          </w:p>
        </w:tc>
        <w:tc>
          <w:tcPr>
            <w:tcW w:w="3313" w:type="dxa"/>
            <w:shd w:val="clear" w:color="auto" w:fill="D9D9D9" w:themeFill="background1" w:themeFillShade="D9"/>
          </w:tcPr>
          <w:p w14:paraId="2CA6822B" w14:textId="77777777" w:rsidR="00FE5775" w:rsidRPr="00407259" w:rsidRDefault="00FE5775" w:rsidP="00415AC1">
            <w:pPr>
              <w:widowControl w:val="0"/>
              <w:tabs>
                <w:tab w:val="left" w:pos="993"/>
              </w:tabs>
              <w:autoSpaceDE w:val="0"/>
              <w:autoSpaceDN w:val="0"/>
              <w:ind w:right="51"/>
              <w:contextualSpacing/>
              <w:jc w:val="center"/>
              <w:rPr>
                <w:rFonts w:ascii="Arial" w:eastAsia="Arial" w:hAnsi="Arial" w:cs="Arial"/>
                <w:b/>
                <w:bCs/>
              </w:rPr>
            </w:pPr>
            <w:r w:rsidRPr="00407259">
              <w:rPr>
                <w:rFonts w:ascii="Arial" w:eastAsia="Arial" w:hAnsi="Arial" w:cs="Arial"/>
                <w:b/>
                <w:bCs/>
              </w:rPr>
              <w:t>Capacidad de organización</w:t>
            </w:r>
          </w:p>
        </w:tc>
      </w:tr>
      <w:tr w:rsidR="00FE5775" w:rsidRPr="00407259" w14:paraId="50BA3A9D" w14:textId="77777777" w:rsidTr="00415AC1">
        <w:trPr>
          <w:jc w:val="center"/>
        </w:trPr>
        <w:tc>
          <w:tcPr>
            <w:tcW w:w="4053" w:type="dxa"/>
          </w:tcPr>
          <w:p w14:paraId="486363C4"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Cinco (5) años o más</w:t>
            </w:r>
          </w:p>
        </w:tc>
        <w:tc>
          <w:tcPr>
            <w:tcW w:w="3313" w:type="dxa"/>
          </w:tcPr>
          <w:p w14:paraId="27F72E5C"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Mayor ingreso operacional de los últimos cinco años</w:t>
            </w:r>
          </w:p>
        </w:tc>
      </w:tr>
      <w:tr w:rsidR="00FE5775" w:rsidRPr="00407259" w14:paraId="70DA2EFA" w14:textId="77777777" w:rsidTr="00415AC1">
        <w:trPr>
          <w:jc w:val="center"/>
        </w:trPr>
        <w:tc>
          <w:tcPr>
            <w:tcW w:w="4053" w:type="dxa"/>
          </w:tcPr>
          <w:p w14:paraId="136785E9"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Entre uno (1) y cinco (5) años</w:t>
            </w:r>
          </w:p>
        </w:tc>
        <w:tc>
          <w:tcPr>
            <w:tcW w:w="3313" w:type="dxa"/>
          </w:tcPr>
          <w:p w14:paraId="0588EC34"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Mayor ingreso operacional de los años de vida del oferente</w:t>
            </w:r>
          </w:p>
        </w:tc>
      </w:tr>
      <w:tr w:rsidR="00FE5775" w:rsidRPr="00407259" w14:paraId="1639F06F" w14:textId="77777777" w:rsidTr="00415AC1">
        <w:trPr>
          <w:jc w:val="center"/>
        </w:trPr>
        <w:tc>
          <w:tcPr>
            <w:tcW w:w="4053" w:type="dxa"/>
          </w:tcPr>
          <w:p w14:paraId="7D490D79"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Menos de un (1) año</w:t>
            </w:r>
          </w:p>
        </w:tc>
        <w:tc>
          <w:tcPr>
            <w:tcW w:w="3313" w:type="dxa"/>
          </w:tcPr>
          <w:p w14:paraId="7696E772" w14:textId="77777777" w:rsidR="00FE5775" w:rsidRPr="00407259" w:rsidRDefault="00FE5775" w:rsidP="00415AC1">
            <w:pPr>
              <w:widowControl w:val="0"/>
              <w:tabs>
                <w:tab w:val="left" w:pos="993"/>
              </w:tabs>
              <w:autoSpaceDE w:val="0"/>
              <w:autoSpaceDN w:val="0"/>
              <w:ind w:right="51"/>
              <w:contextualSpacing/>
              <w:jc w:val="both"/>
              <w:rPr>
                <w:rFonts w:ascii="Arial" w:eastAsia="Arial" w:hAnsi="Arial" w:cs="Arial"/>
              </w:rPr>
            </w:pPr>
            <w:r w:rsidRPr="00407259">
              <w:rPr>
                <w:rFonts w:ascii="Arial" w:eastAsia="Arial" w:hAnsi="Arial" w:cs="Arial"/>
              </w:rPr>
              <w:t>USD 125.000</w:t>
            </w:r>
          </w:p>
        </w:tc>
      </w:tr>
    </w:tbl>
    <w:p w14:paraId="47C99B14" w14:textId="77777777" w:rsidR="00FE5775" w:rsidRPr="00407259" w:rsidRDefault="00FE5775" w:rsidP="00FE5775">
      <w:pPr>
        <w:widowControl w:val="0"/>
        <w:tabs>
          <w:tab w:val="left" w:pos="993"/>
        </w:tabs>
        <w:autoSpaceDE w:val="0"/>
        <w:autoSpaceDN w:val="0"/>
        <w:spacing w:after="0" w:line="276" w:lineRule="auto"/>
        <w:ind w:left="709"/>
        <w:jc w:val="both"/>
        <w:rPr>
          <w:rFonts w:ascii="Arial" w:eastAsia="Arial" w:hAnsi="Arial" w:cs="Arial"/>
        </w:rPr>
      </w:pPr>
    </w:p>
    <w:p w14:paraId="1C4F366B" w14:textId="77777777" w:rsidR="00FE5775" w:rsidRPr="00407259" w:rsidRDefault="00FE5775" w:rsidP="00FE5775">
      <w:pPr>
        <w:widowControl w:val="0"/>
        <w:tabs>
          <w:tab w:val="left" w:pos="993"/>
        </w:tabs>
        <w:autoSpaceDE w:val="0"/>
        <w:autoSpaceDN w:val="0"/>
        <w:spacing w:after="120" w:line="276" w:lineRule="auto"/>
        <w:jc w:val="both"/>
        <w:rPr>
          <w:rFonts w:ascii="Arial" w:eastAsia="Arial" w:hAnsi="Arial" w:cs="Arial"/>
        </w:rPr>
      </w:pPr>
      <w:r w:rsidRPr="00407259">
        <w:rPr>
          <w:rFonts w:ascii="Arial" w:eastAsia="Arial" w:hAnsi="Arial" w:cs="Arial"/>
        </w:rPr>
        <w:tab/>
        <w:t>Si los ingresos operacionales del proponente con uno (1) o más años de información financiera es menor a USD125.000, la Capacidad de organización (CO) del proponente es igual a USD125.000.</w:t>
      </w:r>
    </w:p>
    <w:p w14:paraId="25E76CC8" w14:textId="77777777" w:rsidR="00FE5775" w:rsidRPr="00407259" w:rsidRDefault="00FE5775" w:rsidP="00FE5775">
      <w:pPr>
        <w:widowControl w:val="0"/>
        <w:numPr>
          <w:ilvl w:val="0"/>
          <w:numId w:val="10"/>
        </w:numPr>
        <w:tabs>
          <w:tab w:val="left" w:pos="993"/>
        </w:tabs>
        <w:autoSpaceDE w:val="0"/>
        <w:autoSpaceDN w:val="0"/>
        <w:spacing w:after="120" w:line="276" w:lineRule="auto"/>
        <w:ind w:firstLine="709"/>
        <w:jc w:val="both"/>
        <w:rPr>
          <w:rFonts w:ascii="Arial" w:eastAsia="Arial" w:hAnsi="Arial" w:cs="Arial"/>
        </w:rPr>
      </w:pPr>
      <w:r w:rsidRPr="00407259">
        <w:rPr>
          <w:rFonts w:ascii="Arial" w:eastAsia="Arial" w:hAnsi="Arial" w:cs="Arial"/>
          <w:b/>
          <w:bCs/>
        </w:rPr>
        <w:t>Saldos de los contratos en ejecución (SCE).</w:t>
      </w:r>
      <w:r w:rsidRPr="00407259">
        <w:rPr>
          <w:rFonts w:ascii="Arial" w:eastAsia="Arial" w:hAnsi="Arial" w:cs="Arial"/>
        </w:rPr>
        <w:t xml:space="preserve"> Debe hacerse linealmente y calculando una </w:t>
      </w:r>
      <w:r w:rsidRPr="00407259">
        <w:rPr>
          <w:rFonts w:ascii="Arial" w:eastAsia="Arial" w:hAnsi="Arial" w:cs="Arial"/>
          <w:i/>
          <w:iCs/>
        </w:rPr>
        <w:t xml:space="preserve">“ejecución diaria equivalente al valor del contrato dividido por el plazo del contrato expresado en días”. </w:t>
      </w:r>
      <w:r w:rsidRPr="00407259">
        <w:rPr>
          <w:rFonts w:ascii="Arial" w:eastAsia="Arial" w:hAnsi="Arial" w:cs="Arial"/>
        </w:rPr>
        <w:t>El resultado obtenido se debe multiplicar por el número de días pendientes para cumplir el plazo del contrato. Si el número de días por ejecutar un contrato es superior a trecientos sesenta (360) días, solo se tendrá en cuenta la proporción lineal de doce (12) meses.</w:t>
      </w:r>
    </w:p>
    <w:p w14:paraId="3A44FA31" w14:textId="77777777" w:rsidR="00FE5775" w:rsidRPr="00407259" w:rsidRDefault="00FE5775" w:rsidP="00FE5775">
      <w:pPr>
        <w:widowControl w:val="0"/>
        <w:numPr>
          <w:ilvl w:val="0"/>
          <w:numId w:val="10"/>
        </w:numPr>
        <w:tabs>
          <w:tab w:val="left" w:pos="993"/>
        </w:tabs>
        <w:autoSpaceDE w:val="0"/>
        <w:autoSpaceDN w:val="0"/>
        <w:spacing w:after="120" w:line="276" w:lineRule="auto"/>
        <w:ind w:firstLine="709"/>
        <w:jc w:val="both"/>
        <w:rPr>
          <w:rFonts w:ascii="Arial" w:eastAsia="Arial" w:hAnsi="Arial" w:cs="Arial"/>
        </w:rPr>
      </w:pPr>
      <w:r w:rsidRPr="00407259">
        <w:rPr>
          <w:rFonts w:ascii="Arial" w:eastAsia="Arial" w:hAnsi="Arial" w:cs="Arial"/>
          <w:b/>
          <w:bCs/>
        </w:rPr>
        <w:t>Experiencia (E).</w:t>
      </w:r>
      <w:r w:rsidRPr="00407259">
        <w:rPr>
          <w:rFonts w:ascii="Arial" w:eastAsia="Arial" w:hAnsi="Arial" w:cs="Arial"/>
        </w:rPr>
        <w:t xml:space="preserve"> Para los efectos de la Capacidad Residual, corresponde de un lado, a la relación entre “</w:t>
      </w:r>
      <w:r w:rsidRPr="00407259">
        <w:rPr>
          <w:rFonts w:ascii="Arial" w:eastAsia="Arial" w:hAnsi="Arial" w:cs="Arial"/>
          <w:i/>
          <w:iCs/>
        </w:rPr>
        <w:t>el valor total en pesos de los contratos relacionados con la actividad de la construcción inscritos por el proponente en el Registro Único de Proponentes “RUP” en el segmento 72 […] del Clasificador de Bienes y Servicios”,</w:t>
      </w:r>
      <w:r w:rsidRPr="00407259">
        <w:rPr>
          <w:rFonts w:ascii="Arial" w:eastAsia="Arial" w:hAnsi="Arial" w:cs="Arial"/>
        </w:rPr>
        <w:t xml:space="preserve"> y del otro, al presupuesto oficial estimado del Proceso de Contratación. La relación indica el número de veces que el proponente ha ejecutado contratos equivalentes a la cuantía del Proceso de Contratación, según la siguientes formula:</w:t>
      </w:r>
    </w:p>
    <w:p w14:paraId="033EF2DC" w14:textId="77777777" w:rsidR="00FE5775" w:rsidRPr="00407259" w:rsidRDefault="00FE5775" w:rsidP="00FE5775">
      <w:pPr>
        <w:widowControl w:val="0"/>
        <w:autoSpaceDE w:val="0"/>
        <w:autoSpaceDN w:val="0"/>
        <w:spacing w:after="0" w:line="276" w:lineRule="auto"/>
        <w:ind w:left="709" w:right="758"/>
        <w:jc w:val="both"/>
        <w:rPr>
          <w:rFonts w:ascii="Arial" w:eastAsia="Arial" w:hAnsi="Arial" w:cs="Arial"/>
          <w:lang w:val="es-ES" w:eastAsia="es-ES" w:bidi="es-ES"/>
        </w:rPr>
      </w:pPr>
      <w:r w:rsidRPr="00407259">
        <w:rPr>
          <w:rFonts w:ascii="Arial" w:eastAsia="Arial" w:hAnsi="Arial" w:cs="Arial"/>
          <w:noProof/>
          <w:lang w:val="es-ES" w:eastAsia="es-ES" w:bidi="es-ES"/>
        </w:rPr>
        <w:drawing>
          <wp:inline distT="0" distB="0" distL="0" distR="0" wp14:anchorId="5B7F67FE" wp14:editId="41C5515E">
            <wp:extent cx="4696459" cy="615315"/>
            <wp:effectExtent l="0" t="0" r="8890" b="0"/>
            <wp:docPr id="1996789253" name="Imagen 199678925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789253" name="Imagen 6" descr="Imagen que contiene Texto&#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696459" cy="615315"/>
                    </a:xfrm>
                    <a:prstGeom prst="rect">
                      <a:avLst/>
                    </a:prstGeom>
                  </pic:spPr>
                </pic:pic>
              </a:graphicData>
            </a:graphic>
          </wp:inline>
        </w:drawing>
      </w:r>
    </w:p>
    <w:p w14:paraId="20F79939" w14:textId="77777777" w:rsidR="00FE5775" w:rsidRPr="00407259" w:rsidRDefault="00FE5775" w:rsidP="00FE5775">
      <w:pPr>
        <w:widowControl w:val="0"/>
        <w:autoSpaceDE w:val="0"/>
        <w:autoSpaceDN w:val="0"/>
        <w:spacing w:after="0" w:line="276" w:lineRule="auto"/>
        <w:ind w:right="51"/>
        <w:jc w:val="both"/>
        <w:rPr>
          <w:rFonts w:ascii="Arial" w:eastAsia="Arial" w:hAnsi="Arial" w:cs="Arial"/>
          <w:lang w:val="es-ES" w:eastAsia="es-ES" w:bidi="es-ES"/>
        </w:rPr>
      </w:pPr>
    </w:p>
    <w:p w14:paraId="55BDD522" w14:textId="77777777" w:rsidR="00FE5775" w:rsidRPr="00407259" w:rsidRDefault="00FE5775" w:rsidP="00FE5775">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 xml:space="preserve">Resulta del caso precisar que si bien es cierto que es la entidad estatal la que debe calcular la capacidad residual de los proponentes, también lo es que estos últimos, como ya se dijo, tienen como carga aportar los documentos para acreditarla. </w:t>
      </w:r>
    </w:p>
    <w:p w14:paraId="6EA65762" w14:textId="77777777" w:rsidR="00FE5775" w:rsidRPr="00407259" w:rsidRDefault="00FE5775" w:rsidP="00FE5775">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Para acreditar el factor experiencia –E–, el proponente debe suscribir el formato correspondiente al anexo 1 de la “Guía para Determinar y Verificar la Capacidad Residual del Proponente en los Procesos de Contratación de Obra Pública” −este es diferente al anexo 1 de los documentos tipo−, el cual debe ser diligenciado, por un lado, con los contratos inscritos en el segmento 72 y, por el otro, con el valor total de dichos contratos expresado en pesos colombianos y liquidados con el SMMLV. El Anexo 1 es el siguiente:</w:t>
      </w:r>
    </w:p>
    <w:p w14:paraId="7E73493A" w14:textId="77777777" w:rsidR="00FE5775" w:rsidRPr="00407259" w:rsidRDefault="00FE5775" w:rsidP="00FE5775">
      <w:pPr>
        <w:widowControl w:val="0"/>
        <w:autoSpaceDE w:val="0"/>
        <w:autoSpaceDN w:val="0"/>
        <w:spacing w:before="120" w:after="0" w:line="276" w:lineRule="auto"/>
        <w:ind w:right="51"/>
        <w:jc w:val="center"/>
        <w:rPr>
          <w:rFonts w:ascii="Arial" w:eastAsia="Arial" w:hAnsi="Arial" w:cs="Arial"/>
          <w:lang w:val="es-ES" w:eastAsia="es-ES" w:bidi="es-ES"/>
        </w:rPr>
      </w:pPr>
      <w:r w:rsidRPr="00407259">
        <w:rPr>
          <w:rFonts w:ascii="Arial" w:eastAsia="Arial" w:hAnsi="Arial" w:cs="Arial"/>
          <w:noProof/>
          <w:lang w:val="es-ES" w:eastAsia="es-ES" w:bidi="es-ES"/>
        </w:rPr>
        <w:drawing>
          <wp:inline distT="0" distB="0" distL="0" distR="0" wp14:anchorId="49CF51AC" wp14:editId="791A1226">
            <wp:extent cx="5790569" cy="4369981"/>
            <wp:effectExtent l="0" t="0" r="635" b="0"/>
            <wp:docPr id="889191954" name="Imagen 88919195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191954" name="Imagen 8" descr="Interfaz de usuario gráfica, Texto, Aplicación, Correo electrónic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5848599" cy="4413774"/>
                    </a:xfrm>
                    <a:prstGeom prst="rect">
                      <a:avLst/>
                    </a:prstGeom>
                  </pic:spPr>
                </pic:pic>
              </a:graphicData>
            </a:graphic>
          </wp:inline>
        </w:drawing>
      </w:r>
    </w:p>
    <w:p w14:paraId="27CD3560" w14:textId="77777777" w:rsidR="00FE5775" w:rsidRPr="00407259" w:rsidRDefault="00FE5775" w:rsidP="00FE5775">
      <w:pPr>
        <w:widowControl w:val="0"/>
        <w:autoSpaceDE w:val="0"/>
        <w:autoSpaceDN w:val="0"/>
        <w:spacing w:before="120"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 xml:space="preserve">Nótese que en la parte superior derecha se lee que el valor total de los contratos ejecutados corresponde “al valor del contrato ponderado por la participación en pesos colombianos”. Ahora bien, en criterio de la Agencia Nacional de Contratación Pública, la noción “liquidados con el SMMLV”, contenida en la página 7 de la “Guía para Determinar y Verificar la Capacidad Residual del Proponente en los Procesos de Contratación de Obra Pública”, implica </w:t>
      </w:r>
      <w:r w:rsidRPr="00407259">
        <w:rPr>
          <w:rFonts w:ascii="Arial" w:eastAsia="Arial" w:hAnsi="Arial" w:cs="Arial"/>
          <w:lang w:val="es-ES" w:eastAsia="es-ES" w:bidi="es-ES"/>
        </w:rPr>
        <w:lastRenderedPageBreak/>
        <w:t>que para efectos prácticos el anexo 1 hace referencia: i) al contrato relacionado con la actividad de la construcción −segmento 72, clasificador UNSPSC− y ii) al valor de cada uno de esos contratos de acuerdo a los salarios mínimos mensuales legales vigentes –SMMLV– registrados en el RUP</w:t>
      </w:r>
      <w:r w:rsidRPr="00407259">
        <w:rPr>
          <w:rFonts w:ascii="Arial" w:eastAsia="Arial" w:hAnsi="Arial" w:cs="Arial"/>
          <w:vertAlign w:val="superscript"/>
          <w:lang w:val="es-ES" w:eastAsia="es-ES" w:bidi="es-ES"/>
        </w:rPr>
        <w:footnoteReference w:id="11"/>
      </w:r>
      <w:r w:rsidRPr="00407259">
        <w:rPr>
          <w:rFonts w:ascii="Arial" w:eastAsia="Arial" w:hAnsi="Arial" w:cs="Arial"/>
          <w:lang w:val="es-ES" w:eastAsia="es-ES" w:bidi="es-ES"/>
        </w:rPr>
        <w:t xml:space="preserve">. De ser necesario, el proponente tendrá que diligenciar la casilla del porcentaje de “participación del proponente en el contratista plural” y calcular, según dicho porcentaje, el valor del contrato a tener en cuenta, de tal forma que si, por ejemplo, el contrato inscrito en el RUP es de cien (100)  SMMLV, pero su participación fue del cincuenta (50) por ciento, en la casilla “valor total de los contratos ejecutados” solo se podrán incluir cincuenta (50) de los cien (100) SMMLV, dado el porcentaje de participación del proponente. </w:t>
      </w:r>
    </w:p>
    <w:p w14:paraId="06856EBB" w14:textId="77777777" w:rsidR="00FE5775" w:rsidRPr="00407259" w:rsidRDefault="00FE5775" w:rsidP="00FE5775">
      <w:pPr>
        <w:widowControl w:val="0"/>
        <w:autoSpaceDE w:val="0"/>
        <w:autoSpaceDN w:val="0"/>
        <w:spacing w:after="120" w:line="276" w:lineRule="auto"/>
        <w:ind w:right="51" w:firstLine="709"/>
        <w:jc w:val="both"/>
        <w:rPr>
          <w:rFonts w:ascii="Arial" w:eastAsia="Arial" w:hAnsi="Arial" w:cs="Arial"/>
          <w:lang w:val="es-ES" w:eastAsia="es-ES" w:bidi="es-ES"/>
        </w:rPr>
      </w:pPr>
      <w:r w:rsidRPr="00407259">
        <w:rPr>
          <w:rFonts w:ascii="Arial" w:eastAsia="Arial" w:hAnsi="Arial" w:cs="Arial"/>
          <w:lang w:val="es-ES" w:eastAsia="es-ES" w:bidi="es-ES"/>
        </w:rPr>
        <w:t>En suma, a la entidad contratante corresponde, por una parte, establecer la capacidad residual del proceso de contratación –CRPC– y, por la otra, determinar si los proponentes cumplen con la capacidad residual del proceso de contratación, claro está, teniendo en cuenta la información aportada por el oferente, y según los criterios y directrices de los párrafos precedentes.</w:t>
      </w:r>
    </w:p>
    <w:p w14:paraId="47F5C104" w14:textId="77777777" w:rsidR="00FE5775" w:rsidRPr="00407259" w:rsidRDefault="00FE5775" w:rsidP="00FE5775">
      <w:pPr>
        <w:spacing w:before="120" w:line="276" w:lineRule="auto"/>
        <w:ind w:firstLine="709"/>
        <w:jc w:val="both"/>
        <w:rPr>
          <w:rFonts w:ascii="Arial" w:eastAsia="Calibri" w:hAnsi="Arial" w:cs="Arial"/>
          <w:bCs/>
          <w:color w:val="000000" w:themeColor="text1"/>
        </w:rPr>
      </w:pPr>
      <w:r w:rsidRPr="00407259">
        <w:rPr>
          <w:rFonts w:ascii="Arial" w:eastAsia="Calibri" w:hAnsi="Arial" w:cs="Arial"/>
          <w:bCs/>
          <w:color w:val="000000" w:themeColor="text1"/>
        </w:rPr>
        <w:t xml:space="preserve">Así las cosas, una vez acreditado cada uno de los factores descritos y aplicada la fórmula señalada, se obtiene un resultado que determina la capacidad residual del proponente, con base en el cual se podrá establecer si cumple con la capacidad residual del proceso de contratación. En este sentido, si la capacidad residual del proponente es igual o mayor a la capacidad residual del proceso, el proponente será evaluado como </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cumple</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 xml:space="preserve"> respecto de este requisito habilitante adicional, de lo contrario la evaluación de este aspecto deberá ser </w:t>
      </w:r>
      <w:r w:rsidRPr="00407259">
        <w:rPr>
          <w:rFonts w:ascii="Arial" w:eastAsia="Arial" w:hAnsi="Arial" w:cs="Arial"/>
          <w:color w:val="000000" w:themeColor="text1"/>
          <w:lang w:eastAsia="es-ES" w:bidi="es-ES"/>
        </w:rPr>
        <w:t>“</w:t>
      </w:r>
      <w:r w:rsidRPr="00407259">
        <w:rPr>
          <w:rFonts w:ascii="Arial" w:eastAsia="Calibri" w:hAnsi="Arial" w:cs="Arial"/>
          <w:bCs/>
          <w:color w:val="000000" w:themeColor="text1"/>
        </w:rPr>
        <w:t>no cumple</w:t>
      </w:r>
      <w:r w:rsidRPr="00407259">
        <w:rPr>
          <w:rFonts w:ascii="Arial" w:eastAsia="Arial" w:hAnsi="Arial" w:cs="Arial"/>
          <w:color w:val="000000" w:themeColor="text1"/>
          <w:lang w:eastAsia="es-ES" w:bidi="es-ES"/>
        </w:rPr>
        <w:t>”.</w:t>
      </w:r>
    </w:p>
    <w:p w14:paraId="40DDE03A" w14:textId="4904844A" w:rsidR="00FE5775" w:rsidRPr="00407259" w:rsidRDefault="00FE5775" w:rsidP="00C327E2">
      <w:pPr>
        <w:tabs>
          <w:tab w:val="left" w:pos="426"/>
        </w:tabs>
        <w:spacing w:before="120" w:after="0" w:line="276" w:lineRule="auto"/>
        <w:ind w:firstLine="709"/>
        <w:jc w:val="both"/>
        <w:rPr>
          <w:rFonts w:ascii="Arial" w:eastAsia="Calibri" w:hAnsi="Arial" w:cs="Arial"/>
          <w:szCs w:val="20"/>
          <w:lang w:val="es-MX"/>
        </w:rPr>
      </w:pPr>
      <w:r w:rsidRPr="00407259">
        <w:rPr>
          <w:rFonts w:ascii="Arial" w:eastAsia="Calibri" w:hAnsi="Arial" w:cs="Arial"/>
          <w:szCs w:val="20"/>
          <w:lang w:val="es-MX"/>
        </w:rPr>
        <w:t xml:space="preserve">En línea con lo anterior, </w:t>
      </w:r>
      <w:r w:rsidR="003940D9">
        <w:rPr>
          <w:rFonts w:ascii="Arial" w:eastAsia="Calibri" w:hAnsi="Arial" w:cs="Arial"/>
          <w:szCs w:val="20"/>
          <w:lang w:val="es-MX"/>
        </w:rPr>
        <w:t xml:space="preserve">para los procesos de contratación sometidos a documentos tipo, </w:t>
      </w:r>
      <w:r w:rsidRPr="00407259">
        <w:rPr>
          <w:rFonts w:ascii="Arial" w:eastAsia="Calibri" w:hAnsi="Arial" w:cs="Arial"/>
          <w:szCs w:val="20"/>
          <w:lang w:val="es-MX"/>
        </w:rPr>
        <w:t xml:space="preserve">el numeral </w:t>
      </w:r>
      <w:r w:rsidRPr="00407259">
        <w:rPr>
          <w:rFonts w:ascii="Arial" w:eastAsia="Calibri" w:hAnsi="Arial" w:cs="Arial"/>
          <w:lang w:val="es-MX"/>
        </w:rPr>
        <w:t xml:space="preserve">3.10.2 </w:t>
      </w:r>
      <w:r w:rsidR="001A1BD4">
        <w:rPr>
          <w:rFonts w:ascii="Arial" w:eastAsia="Calibri" w:hAnsi="Arial" w:cs="Arial"/>
          <w:lang w:val="es-MX"/>
        </w:rPr>
        <w:t xml:space="preserve">del pliego </w:t>
      </w:r>
      <w:r w:rsidR="00C327E2">
        <w:rPr>
          <w:rFonts w:ascii="Arial" w:eastAsia="Calibri" w:hAnsi="Arial" w:cs="Arial"/>
          <w:lang w:val="es-MX"/>
        </w:rPr>
        <w:t xml:space="preserve">tipo para procesos de licitación pública de infraestructura de transporte, </w:t>
      </w:r>
      <w:r w:rsidRPr="00407259">
        <w:rPr>
          <w:rFonts w:ascii="Arial" w:eastAsia="Calibri" w:hAnsi="Arial" w:cs="Arial"/>
          <w:lang w:val="es-MX"/>
        </w:rPr>
        <w:t>establece en que el cálculo de la</w:t>
      </w:r>
      <w:r w:rsidRPr="00407259">
        <w:rPr>
          <w:rFonts w:ascii="Arial" w:eastAsia="Arial" w:hAnsi="Arial" w:cs="Arial"/>
          <w:lang w:val="es-MX"/>
        </w:rPr>
        <w:t xml:space="preserve"> </w:t>
      </w:r>
      <w:r w:rsidRPr="00407259">
        <w:rPr>
          <w:rFonts w:ascii="Arial" w:eastAsia="Calibri" w:hAnsi="Arial" w:cs="Arial"/>
          <w:lang w:val="es-MX"/>
        </w:rPr>
        <w:t>capacidad</w:t>
      </w:r>
      <w:r w:rsidRPr="00407259">
        <w:rPr>
          <w:rFonts w:ascii="Arial" w:eastAsia="Arial" w:hAnsi="Arial" w:cs="Arial"/>
          <w:lang w:val="es-MX"/>
        </w:rPr>
        <w:t xml:space="preserve"> </w:t>
      </w:r>
      <w:r w:rsidRPr="00407259">
        <w:rPr>
          <w:rFonts w:ascii="Arial" w:eastAsia="Calibri" w:hAnsi="Arial" w:cs="Arial"/>
          <w:lang w:val="es-MX"/>
        </w:rPr>
        <w:t>residual</w:t>
      </w:r>
      <w:r w:rsidRPr="00407259">
        <w:rPr>
          <w:rFonts w:ascii="Arial" w:eastAsia="Arial" w:hAnsi="Arial" w:cs="Arial"/>
          <w:lang w:val="es-MX"/>
        </w:rPr>
        <w:t xml:space="preserve"> </w:t>
      </w:r>
      <w:r w:rsidRPr="00407259">
        <w:rPr>
          <w:rFonts w:ascii="Arial" w:eastAsia="Calibri" w:hAnsi="Arial" w:cs="Arial"/>
          <w:lang w:val="es-MX"/>
        </w:rPr>
        <w:t>del</w:t>
      </w:r>
      <w:r w:rsidRPr="00407259">
        <w:rPr>
          <w:rFonts w:ascii="Arial" w:eastAsia="Arial" w:hAnsi="Arial" w:cs="Arial"/>
          <w:lang w:val="es-MX"/>
        </w:rPr>
        <w:t xml:space="preserve"> </w:t>
      </w:r>
      <w:r w:rsidRPr="00407259">
        <w:rPr>
          <w:rFonts w:ascii="Arial" w:eastAsia="Calibri" w:hAnsi="Arial" w:cs="Arial"/>
          <w:lang w:val="es-MX"/>
        </w:rPr>
        <w:t>Proponente</w:t>
      </w:r>
      <w:r w:rsidRPr="00407259">
        <w:rPr>
          <w:rFonts w:ascii="Arial" w:eastAsia="Arial" w:hAnsi="Arial" w:cs="Arial"/>
          <w:lang w:val="es-MX"/>
        </w:rPr>
        <w:t xml:space="preserve"> </w:t>
      </w:r>
      <w:r w:rsidR="00C327E2">
        <w:rPr>
          <w:rFonts w:ascii="Arial" w:eastAsia="Arial" w:hAnsi="Arial" w:cs="Arial"/>
          <w:lang w:val="es-MX"/>
        </w:rPr>
        <w:t xml:space="preserve">de acuerdo a la formula previamente citada, y en el </w:t>
      </w:r>
      <w:r w:rsidRPr="00407259">
        <w:rPr>
          <w:rFonts w:ascii="Arial" w:eastAsia="Calibri" w:hAnsi="Arial" w:cs="Arial"/>
          <w:szCs w:val="20"/>
          <w:lang w:val="es-MX"/>
        </w:rPr>
        <w:t>el literal b del numeral 3.11.2, relativo al cálculo del factor de experiencia, establece lo siguiente:</w:t>
      </w:r>
    </w:p>
    <w:p w14:paraId="1AEFDDCD" w14:textId="77777777" w:rsidR="00FE5775" w:rsidRPr="00407259" w:rsidRDefault="00FE5775" w:rsidP="00FE5775">
      <w:pPr>
        <w:spacing w:after="0" w:line="276" w:lineRule="auto"/>
        <w:jc w:val="both"/>
        <w:rPr>
          <w:rFonts w:ascii="Arial" w:eastAsia="Calibri" w:hAnsi="Arial" w:cs="Arial"/>
          <w:szCs w:val="20"/>
          <w:lang w:val="es-MX"/>
        </w:rPr>
      </w:pPr>
    </w:p>
    <w:p w14:paraId="7F1CB4F2" w14:textId="77777777" w:rsidR="00FE5775" w:rsidRPr="00407259" w:rsidRDefault="00FE5775" w:rsidP="00FE5775">
      <w:pPr>
        <w:spacing w:after="120" w:line="240" w:lineRule="auto"/>
        <w:ind w:left="709" w:right="709"/>
        <w:jc w:val="both"/>
        <w:rPr>
          <w:rFonts w:ascii="Arial" w:eastAsia="Arial," w:hAnsi="Arial" w:cs="Arial"/>
          <w:sz w:val="21"/>
          <w:szCs w:val="21"/>
          <w:lang w:val="es-MX"/>
        </w:rPr>
      </w:pPr>
      <w:r>
        <w:rPr>
          <w:rFonts w:ascii="Arial" w:eastAsia="Calibri" w:hAnsi="Arial" w:cs="Arial"/>
          <w:sz w:val="21"/>
          <w:szCs w:val="21"/>
          <w:lang w:val="es-MX"/>
        </w:rPr>
        <w:t>“</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factor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Proponente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propósitos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capacidad</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residual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acreditado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medio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relación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entre: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valor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total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pesos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contratos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relacionados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actividad</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construcción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inscritos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Proponente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RUP,</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fldChar w:fldCharType="begin"/>
      </w:r>
      <w:r w:rsidRPr="00407259">
        <w:rPr>
          <w:rFonts w:ascii="Arial" w:eastAsia="MS Mincho" w:hAnsi="Arial" w:cs="Arial"/>
          <w:bCs/>
          <w:sz w:val="21"/>
          <w:szCs w:val="21"/>
          <w:lang w:val="es-MX"/>
        </w:rPr>
        <w:instrText xml:space="preserve"> REF _Ref508649250 \h </w:instrText>
      </w:r>
      <w:r w:rsidRPr="00407259">
        <w:rPr>
          <w:rFonts w:ascii="Arial" w:eastAsia="Calibri" w:hAnsi="Arial" w:cs="Arial"/>
          <w:sz w:val="21"/>
          <w:szCs w:val="21"/>
          <w:lang w:val="es-MX"/>
        </w:rPr>
        <w:instrText xml:space="preserve"> \* MERGEFORMAT </w:instrText>
      </w:r>
      <w:r w:rsidRPr="00407259">
        <w:rPr>
          <w:rFonts w:ascii="Arial" w:eastAsia="Calibri" w:hAnsi="Arial" w:cs="Arial"/>
          <w:sz w:val="21"/>
          <w:szCs w:val="21"/>
          <w:lang w:val="es-MX"/>
        </w:rPr>
      </w:r>
      <w:r w:rsidRPr="00407259">
        <w:rPr>
          <w:rFonts w:ascii="Arial" w:eastAsia="MS Mincho" w:hAnsi="Arial" w:cs="Arial"/>
          <w:bCs/>
          <w:sz w:val="21"/>
          <w:szCs w:val="21"/>
          <w:highlight w:val="yellow"/>
          <w:lang w:val="es-MX"/>
        </w:rPr>
        <w:fldChar w:fldCharType="separate"/>
      </w:r>
      <w:r w:rsidRPr="00407259">
        <w:rPr>
          <w:rFonts w:ascii="Arial" w:eastAsia="Arial" w:hAnsi="Arial" w:cs="Arial"/>
          <w:sz w:val="21"/>
          <w:szCs w:val="21"/>
          <w:lang w:val="es-MX"/>
        </w:rPr>
        <w:t>Formato 5 – Capacidad residual</w:t>
      </w:r>
      <w:r w:rsidRPr="00407259">
        <w:rPr>
          <w:rFonts w:ascii="Arial" w:eastAsia="Calibri" w:hAnsi="Arial" w:cs="Arial"/>
          <w:sz w:val="21"/>
          <w:szCs w:val="21"/>
          <w:lang w:val="es-MX"/>
        </w:rPr>
        <w:fldChar w:fldCharType="end"/>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segmento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72</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“Servicios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Edificación,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Construcción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lastRenderedPageBreak/>
        <w:t>Instalaciones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Mantenimiento”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Clasificador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Bienes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Servicios;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(ii)</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Presupuesto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Oficial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Estimado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Proceso de Contratación.</w:t>
      </w:r>
    </w:p>
    <w:p w14:paraId="0B569FF4" w14:textId="77777777" w:rsidR="00FE5775" w:rsidRPr="00407259" w:rsidRDefault="00FE5775" w:rsidP="00FE5775">
      <w:pPr>
        <w:tabs>
          <w:tab w:val="left" w:pos="426"/>
        </w:tabs>
        <w:spacing w:after="120" w:line="240" w:lineRule="auto"/>
        <w:ind w:left="709" w:right="709"/>
        <w:jc w:val="both"/>
        <w:rPr>
          <w:rFonts w:ascii="Arial" w:eastAsia="Calibri" w:hAnsi="Arial" w:cs="Arial"/>
          <w:sz w:val="21"/>
          <w:szCs w:val="21"/>
          <w:lang w:val="es-MX"/>
        </w:rPr>
      </w:pPr>
      <w:r w:rsidRPr="00407259">
        <w:rPr>
          <w:rFonts w:ascii="Arial" w:eastAsia="Calibri" w:hAnsi="Arial" w:cs="Arial"/>
          <w:sz w:val="21"/>
          <w:szCs w:val="21"/>
          <w:lang w:val="es-MX"/>
        </w:rPr>
        <w:t>[…]</w:t>
      </w:r>
    </w:p>
    <w:p w14:paraId="154306D2" w14:textId="77777777" w:rsidR="00FE5775" w:rsidRPr="00407259" w:rsidRDefault="00FE5775" w:rsidP="00FE5775">
      <w:pPr>
        <w:spacing w:after="0" w:line="240" w:lineRule="auto"/>
        <w:ind w:left="709" w:right="709"/>
        <w:jc w:val="both"/>
        <w:rPr>
          <w:rFonts w:ascii="Arial" w:eastAsia="Arial," w:hAnsi="Arial" w:cs="Arial"/>
          <w:sz w:val="21"/>
          <w:szCs w:val="21"/>
          <w:lang w:val="es-MX"/>
        </w:rPr>
      </w:pP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acreditar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factor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Proponente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debe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diligenciar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fldChar w:fldCharType="begin"/>
      </w:r>
      <w:r w:rsidRPr="00407259">
        <w:rPr>
          <w:rFonts w:ascii="Arial" w:eastAsia="MS Mincho" w:hAnsi="Arial" w:cs="Arial"/>
          <w:bCs/>
          <w:sz w:val="21"/>
          <w:szCs w:val="21"/>
          <w:lang w:val="es-MX"/>
        </w:rPr>
        <w:instrText xml:space="preserve"> REF _Ref508649250 \h </w:instrText>
      </w:r>
      <w:r w:rsidRPr="00407259">
        <w:rPr>
          <w:rFonts w:ascii="Arial" w:eastAsia="Calibri" w:hAnsi="Arial" w:cs="Arial"/>
          <w:sz w:val="21"/>
          <w:szCs w:val="21"/>
          <w:lang w:val="es-MX"/>
        </w:rPr>
        <w:instrText xml:space="preserve"> \* MERGEFORMAT </w:instrText>
      </w:r>
      <w:r w:rsidRPr="00407259">
        <w:rPr>
          <w:rFonts w:ascii="Arial" w:eastAsia="Calibri" w:hAnsi="Arial" w:cs="Arial"/>
          <w:sz w:val="21"/>
          <w:szCs w:val="21"/>
          <w:lang w:val="es-MX"/>
        </w:rPr>
      </w:r>
      <w:r w:rsidRPr="00407259">
        <w:rPr>
          <w:rFonts w:ascii="Arial" w:eastAsia="MS Mincho" w:hAnsi="Arial" w:cs="Arial"/>
          <w:bCs/>
          <w:sz w:val="21"/>
          <w:szCs w:val="21"/>
          <w:highlight w:val="yellow"/>
          <w:lang w:val="es-MX"/>
        </w:rPr>
        <w:fldChar w:fldCharType="separate"/>
      </w:r>
      <w:r w:rsidRPr="00407259">
        <w:rPr>
          <w:rFonts w:ascii="Arial" w:eastAsia="Arial" w:hAnsi="Arial" w:cs="Arial"/>
          <w:sz w:val="21"/>
          <w:szCs w:val="21"/>
          <w:lang w:val="es-MX"/>
        </w:rPr>
        <w:t>Formato 5 – Capacidad residual</w:t>
      </w:r>
      <w:r w:rsidRPr="00407259">
        <w:rPr>
          <w:rFonts w:ascii="Arial" w:eastAsia="Calibri" w:hAnsi="Arial" w:cs="Arial"/>
          <w:sz w:val="21"/>
          <w:szCs w:val="21"/>
          <w:lang w:val="es-MX"/>
        </w:rPr>
        <w:fldChar w:fldCharType="end"/>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cual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contiene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contratos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inscritos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segmento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72</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y</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su</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valor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total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pesos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colombianos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liquidados</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SMMLV.</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Así</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mismo,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Presupuesto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Oficial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Estimado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debe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ser</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liquidado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con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SMMLV</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para</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año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publicación</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Pliego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 Condiciones definitivo</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del</w:t>
      </w:r>
      <w:r w:rsidRPr="00407259">
        <w:rPr>
          <w:rFonts w:ascii="Arial" w:eastAsia="Arial," w:hAnsi="Arial" w:cs="Arial"/>
          <w:sz w:val="21"/>
          <w:szCs w:val="21"/>
          <w:lang w:val="es-MX"/>
        </w:rPr>
        <w:t xml:space="preserve"> </w:t>
      </w:r>
      <w:r w:rsidRPr="00407259">
        <w:rPr>
          <w:rFonts w:ascii="Arial" w:eastAsia="Calibri" w:hAnsi="Arial" w:cs="Arial"/>
          <w:sz w:val="21"/>
          <w:szCs w:val="21"/>
          <w:lang w:val="es-MX"/>
        </w:rPr>
        <w:t>Proceso de Contratación</w:t>
      </w:r>
      <w:r>
        <w:rPr>
          <w:rFonts w:ascii="Arial" w:eastAsia="Calibri" w:hAnsi="Arial" w:cs="Arial"/>
          <w:sz w:val="21"/>
          <w:szCs w:val="21"/>
          <w:lang w:val="es-MX"/>
        </w:rPr>
        <w:t>”</w:t>
      </w:r>
      <w:r w:rsidRPr="00407259">
        <w:rPr>
          <w:rFonts w:ascii="Arial" w:eastAsia="Calibri" w:hAnsi="Arial" w:cs="Arial"/>
          <w:sz w:val="21"/>
          <w:szCs w:val="21"/>
          <w:lang w:val="es-MX"/>
        </w:rPr>
        <w:t>.</w:t>
      </w:r>
    </w:p>
    <w:p w14:paraId="47695C16" w14:textId="77777777" w:rsidR="00FE5775" w:rsidRPr="00407259" w:rsidRDefault="00FE5775" w:rsidP="00FE5775">
      <w:pPr>
        <w:widowControl w:val="0"/>
        <w:autoSpaceDE w:val="0"/>
        <w:autoSpaceDN w:val="0"/>
        <w:spacing w:after="0" w:line="276" w:lineRule="auto"/>
        <w:ind w:right="51" w:firstLine="709"/>
        <w:jc w:val="both"/>
        <w:rPr>
          <w:rFonts w:ascii="Arial" w:eastAsia="Arial" w:hAnsi="Arial" w:cs="Arial"/>
          <w:lang w:val="es-ES" w:eastAsia="es-ES" w:bidi="es-ES"/>
        </w:rPr>
      </w:pPr>
    </w:p>
    <w:p w14:paraId="2FFEA1DE" w14:textId="77777777" w:rsidR="00FE5775" w:rsidRPr="00407259" w:rsidRDefault="00FE5775" w:rsidP="00FE5775">
      <w:pPr>
        <w:tabs>
          <w:tab w:val="left" w:pos="426"/>
        </w:tabs>
        <w:spacing w:after="0" w:line="276" w:lineRule="auto"/>
        <w:ind w:firstLine="709"/>
        <w:jc w:val="both"/>
        <w:rPr>
          <w:rFonts w:ascii="Arial" w:hAnsi="Arial" w:cs="Arial"/>
          <w:szCs w:val="20"/>
        </w:rPr>
      </w:pPr>
      <w:r w:rsidRPr="00407259">
        <w:rPr>
          <w:rFonts w:ascii="Arial" w:hAnsi="Arial" w:cs="Arial"/>
          <w:szCs w:val="20"/>
        </w:rPr>
        <w:t xml:space="preserve">Por su parte, el “Formato 5 – Capacidad Residual”, adoptado por la Resolución No. 240 para procesos de licitación de obra de infraestructura pública de transporte, así como el adoptado por la Resolución No. 241 de 2020 para procesos del mismo tipo para la modalidad de selección abreviada de menor cuantía, establecen lo siguiente: </w:t>
      </w:r>
    </w:p>
    <w:p w14:paraId="56948E60" w14:textId="77777777" w:rsidR="00FE5775" w:rsidRPr="00407259" w:rsidRDefault="00FE5775" w:rsidP="00FE5775">
      <w:pPr>
        <w:tabs>
          <w:tab w:val="left" w:pos="426"/>
        </w:tabs>
        <w:spacing w:after="0" w:line="276" w:lineRule="auto"/>
        <w:ind w:left="709" w:right="709"/>
        <w:jc w:val="both"/>
        <w:rPr>
          <w:rFonts w:ascii="Arial" w:hAnsi="Arial" w:cs="Arial"/>
          <w:sz w:val="21"/>
          <w:szCs w:val="21"/>
        </w:rPr>
      </w:pPr>
    </w:p>
    <w:p w14:paraId="1C26D2B7" w14:textId="77777777" w:rsidR="00FE5775" w:rsidRPr="00407259" w:rsidRDefault="00FE5775" w:rsidP="00FE5775">
      <w:pPr>
        <w:tabs>
          <w:tab w:val="left" w:pos="426"/>
        </w:tabs>
        <w:spacing w:after="0" w:line="240" w:lineRule="auto"/>
        <w:ind w:left="709" w:right="709"/>
        <w:jc w:val="both"/>
        <w:rPr>
          <w:rFonts w:ascii="Arial" w:hAnsi="Arial" w:cs="Arial"/>
          <w:sz w:val="21"/>
          <w:szCs w:val="21"/>
        </w:rPr>
      </w:pPr>
      <w:r w:rsidRPr="00407259">
        <w:rPr>
          <w:rFonts w:ascii="Arial" w:hAnsi="Arial" w:cs="Arial"/>
          <w:sz w:val="21"/>
          <w:szCs w:val="21"/>
        </w:rPr>
        <w:t>[La entidad estatal deberá estructurar los formatos para la verificación de la capacidad residual utilizando los formatos y la metodología señalada en la "Guía para Determinar y Verificar la Capacidad Residual del Proponente en los Procesos de Contratación de Obra Pública" de la Agencia Nacional de Contratación Pública - Colombia Compra Eficiente]</w:t>
      </w:r>
    </w:p>
    <w:p w14:paraId="186E8828" w14:textId="77777777" w:rsidR="00FE5775" w:rsidRPr="00407259" w:rsidRDefault="00FE5775" w:rsidP="00FE5775">
      <w:pPr>
        <w:tabs>
          <w:tab w:val="left" w:pos="426"/>
        </w:tabs>
        <w:spacing w:after="0"/>
        <w:ind w:left="709" w:right="709"/>
        <w:jc w:val="both"/>
        <w:rPr>
          <w:rFonts w:ascii="Arial" w:hAnsi="Arial" w:cs="Arial"/>
          <w:szCs w:val="20"/>
        </w:rPr>
      </w:pPr>
    </w:p>
    <w:p w14:paraId="636A198E" w14:textId="77777777" w:rsidR="00FE5775" w:rsidRPr="00407259" w:rsidRDefault="00FE5775" w:rsidP="00FE5775">
      <w:pPr>
        <w:tabs>
          <w:tab w:val="left" w:pos="426"/>
        </w:tabs>
        <w:spacing w:after="0" w:line="276" w:lineRule="auto"/>
        <w:ind w:firstLine="709"/>
        <w:jc w:val="both"/>
        <w:rPr>
          <w:rFonts w:ascii="Arial" w:hAnsi="Arial" w:cs="Arial"/>
          <w:szCs w:val="20"/>
        </w:rPr>
      </w:pPr>
      <w:r w:rsidRPr="00407259">
        <w:rPr>
          <w:rFonts w:ascii="Arial" w:hAnsi="Arial" w:cs="Arial"/>
          <w:szCs w:val="20"/>
        </w:rPr>
        <w:t xml:space="preserve">De acuerdo a lo anterior, en el contexto de la aplicación de los documentos tipo adoptados por las Resoluciones Nos. 240 y 241 de 2020, el Formato 5 es el documento destinado a la acreditación de la capacidad residual, en el que debe consignarse la información requerida para su acreditación de conformidad con el artículo 2.2.1.1.1.6.4 del Decreto 1082 de 2015, así como lo manifestado en la mencionada guía, a la cual remite el texto original del Formato 5, información que en ultimas es la misma, pero que en la guía se precisa de manera más detallada. Dicha información es la que debe aportar el proponente para acreditar su capacidad residual. </w:t>
      </w:r>
    </w:p>
    <w:p w14:paraId="7863512C" w14:textId="77777777" w:rsidR="00FE5775" w:rsidRPr="00407259" w:rsidRDefault="00FE5775" w:rsidP="00FE5775">
      <w:pPr>
        <w:tabs>
          <w:tab w:val="left" w:pos="426"/>
        </w:tabs>
        <w:spacing w:after="0" w:line="276" w:lineRule="auto"/>
        <w:ind w:firstLine="709"/>
        <w:jc w:val="both"/>
        <w:rPr>
          <w:rFonts w:ascii="Arial" w:hAnsi="Arial" w:cs="Arial"/>
          <w:szCs w:val="20"/>
        </w:rPr>
      </w:pPr>
    </w:p>
    <w:p w14:paraId="55728046" w14:textId="10A82AEB" w:rsidR="00C52F4E" w:rsidRPr="00C52F4E" w:rsidRDefault="00FE5775" w:rsidP="00C52F4E">
      <w:pPr>
        <w:spacing w:after="120" w:line="276" w:lineRule="auto"/>
        <w:jc w:val="both"/>
        <w:rPr>
          <w:rFonts w:ascii="Arial" w:hAnsi="Arial" w:cs="Arial"/>
          <w:b/>
          <w:bCs/>
        </w:rPr>
      </w:pPr>
      <w:r w:rsidRPr="00C52F4E">
        <w:rPr>
          <w:rFonts w:ascii="Arial" w:eastAsia="Calibri" w:hAnsi="Arial" w:cs="Arial"/>
          <w:b/>
          <w:bCs/>
          <w:color w:val="000000"/>
          <w:lang w:eastAsia="en-GB"/>
        </w:rPr>
        <w:t>2.</w:t>
      </w:r>
      <w:r w:rsidR="00013624" w:rsidRPr="00C52F4E">
        <w:rPr>
          <w:rFonts w:ascii="Arial" w:eastAsia="Calibri" w:hAnsi="Arial" w:cs="Arial"/>
          <w:b/>
          <w:bCs/>
          <w:color w:val="000000"/>
          <w:lang w:eastAsia="en-GB"/>
        </w:rPr>
        <w:t>3.</w:t>
      </w:r>
      <w:r w:rsidR="00C52F4E" w:rsidRPr="00C52F4E">
        <w:rPr>
          <w:rFonts w:ascii="Arial" w:hAnsi="Arial" w:cs="Arial"/>
          <w:b/>
          <w:bCs/>
        </w:rPr>
        <w:t xml:space="preserve"> </w:t>
      </w:r>
      <w:r w:rsidR="00C52F4E" w:rsidRPr="00C52F4E">
        <w:rPr>
          <w:rFonts w:ascii="Arial" w:eastAsia="Calibri" w:hAnsi="Arial" w:cs="Arial"/>
          <w:b/>
          <w:bCs/>
        </w:rPr>
        <w:t>A</w:t>
      </w:r>
      <w:r w:rsidR="00C52F4E" w:rsidRPr="00C52F4E">
        <w:rPr>
          <w:rFonts w:ascii="Arial" w:hAnsi="Arial" w:cs="Arial"/>
          <w:b/>
          <w:bCs/>
        </w:rPr>
        <w:t>nálisis frente al alcance de la regla de la subsanabilidad y la figura de la aclaración de ofertas frente a la Capacidad Residual</w:t>
      </w:r>
    </w:p>
    <w:p w14:paraId="7B239591" w14:textId="3177A144" w:rsidR="00C52F4E" w:rsidRPr="0081560D" w:rsidRDefault="00C52F4E" w:rsidP="00C52F4E">
      <w:pPr>
        <w:spacing w:after="120" w:line="276" w:lineRule="auto"/>
        <w:jc w:val="both"/>
        <w:rPr>
          <w:rFonts w:ascii="Arial" w:hAnsi="Arial" w:cs="Arial"/>
        </w:rPr>
      </w:pPr>
      <w:r w:rsidRPr="0081560D">
        <w:rPr>
          <w:rFonts w:ascii="Arial" w:hAnsi="Arial" w:cs="Arial"/>
          <w:bCs/>
        </w:rPr>
        <w:t xml:space="preserve">En el concepto CU — 060 de 16 de enero de 2020, se unificó el concepto de la Agencia Nacional de Contratación Pública – Colombia Compra Eficiente en torno al alcance de la regla de la subsanabilidad, contenida actualmente en el artículo 5 de la Ley 1150 de 2007. En dicho concepto se unificó la tesis expuesta en los conceptos con radicado No. 4201913000006471 del 28 de octubre de 2019, 4201912000006711 del 12 de noviembre de 2019 y 4201912000006496 del 15 de noviembre de 2019, la cual fue reiterada en los conceptos C-082 de 27 de enero de 2020 y C-127 de 12 de febrero de 2020, C−044 de 24 de marzo de 2020, C–013 de 28 de abril de 2020, C−307 de 21 de mayo de 2020, C−372 de 30 de junio de 2020, C−410 de 26 de junio de 2020, C−481 de 27 julio de 2020, C−420 de 28 de julio de 2020, C-730 de 14 de diciembre de 2020, C–779 de 18 de enero de 2020, C-077 de 14 de enero de 2021, C-010 de 16 de febrero de 2021, C-250 del 2 de junio de 2021 </w:t>
      </w:r>
      <w:r w:rsidRPr="0081560D">
        <w:rPr>
          <w:rFonts w:ascii="Arial" w:hAnsi="Arial" w:cs="Arial"/>
        </w:rPr>
        <w:t>C-568 del 11 de octubre de 2021, C-728 del 25 de enero de 2022, C-</w:t>
      </w:r>
      <w:r w:rsidRPr="0081560D">
        <w:rPr>
          <w:rFonts w:ascii="Arial" w:hAnsi="Arial" w:cs="Arial"/>
        </w:rPr>
        <w:lastRenderedPageBreak/>
        <w:t>140 del 28 de marzo de 2022, C-285 del 20 de mayo de 2022, C-416 del 30 de junio de 2022, C-431 del 7 de julio de 2022, C-470 del 25 de julio de 2022, C-505 de 8 de agosto de 2022 y C-681 de 19 de octubre de 2022.</w:t>
      </w:r>
    </w:p>
    <w:p w14:paraId="1F2DCE9E" w14:textId="259B3D80" w:rsidR="00C52F4E" w:rsidRPr="0081560D" w:rsidRDefault="00C52F4E" w:rsidP="00C52F4E">
      <w:pPr>
        <w:spacing w:after="120" w:line="276" w:lineRule="auto"/>
        <w:ind w:firstLine="708"/>
        <w:jc w:val="both"/>
        <w:rPr>
          <w:rFonts w:ascii="Arial" w:hAnsi="Arial" w:cs="Arial"/>
          <w:lang w:val="es-ES_tradnl"/>
        </w:rPr>
      </w:pPr>
      <w:r w:rsidRPr="0081560D">
        <w:rPr>
          <w:rFonts w:ascii="Arial" w:hAnsi="Arial" w:cs="Arial"/>
          <w:lang w:val="es-ES_tradnl"/>
        </w:rPr>
        <w:t xml:space="preserve">La referida postura indica que, por regla general, la falta de entrega y los defectos, en la acreditación de los requisitos habilitantes son aspectos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En esta línea, la posibilidad de enmendar, corregir o subsanar los errores en los que se incurre en los documentos contentivos de la oferta es un tema que ha tenido diferentes momentos o etapas en el ordenamiento jurídico colombiano, no obstante, en la actualidad, bajo el numeral 15 del artículo 25 de la Ley 80 de 1993 ya no es posible rechazar las ofertas por falta de requisitos o documentos que no fueran </w:t>
      </w:r>
      <w:r w:rsidR="00E2629A">
        <w:rPr>
          <w:rFonts w:ascii="Arial" w:hAnsi="Arial" w:cs="Arial"/>
          <w:lang w:val="es-ES_tradnl"/>
        </w:rPr>
        <w:t>“</w:t>
      </w:r>
      <w:r w:rsidRPr="0081560D">
        <w:rPr>
          <w:rFonts w:ascii="Arial" w:hAnsi="Arial" w:cs="Arial"/>
          <w:i/>
          <w:iCs/>
          <w:lang w:val="es-ES_tradnl"/>
        </w:rPr>
        <w:t>necesarios para la comparación de propuestas</w:t>
      </w:r>
      <w:r w:rsidR="00E2629A">
        <w:rPr>
          <w:rFonts w:ascii="Arial" w:hAnsi="Arial" w:cs="Arial"/>
          <w:i/>
          <w:iCs/>
          <w:lang w:val="es-ES_tradnl"/>
        </w:rPr>
        <w:t>”</w:t>
      </w:r>
      <w:r w:rsidRPr="0081560D">
        <w:rPr>
          <w:rFonts w:ascii="Arial" w:hAnsi="Arial" w:cs="Arial"/>
          <w:i/>
          <w:iCs/>
          <w:lang w:val="es-ES_tradnl"/>
        </w:rPr>
        <w:t>.</w:t>
      </w:r>
      <w:r w:rsidRPr="0081560D">
        <w:rPr>
          <w:rFonts w:ascii="Arial" w:hAnsi="Arial" w:cs="Arial"/>
          <w:lang w:val="es-ES_tradnl"/>
        </w:rPr>
        <w:t xml:space="preserve">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3B5C4F74" w14:textId="77777777" w:rsidR="00C52F4E" w:rsidRPr="0081560D" w:rsidRDefault="00C52F4E" w:rsidP="00C52F4E">
      <w:pPr>
        <w:spacing w:after="120" w:line="276" w:lineRule="auto"/>
        <w:jc w:val="both"/>
        <w:rPr>
          <w:rFonts w:ascii="Arial" w:hAnsi="Arial" w:cs="Arial"/>
          <w:lang w:val="es-ES_tradnl"/>
        </w:rPr>
      </w:pPr>
      <w:r w:rsidRPr="0081560D">
        <w:rPr>
          <w:rFonts w:ascii="Arial" w:hAnsi="Arial" w:cs="Arial"/>
          <w:lang w:val="es-ES_tradnl"/>
        </w:rPr>
        <w:tab/>
        <w:t xml:space="preserve">Posteriormente, con la expedición de la Ley 1150 de 2007, que, en el parágrafo 1º del artículo 5, reiteró lo que dispuso la Ley 80 de 1993, en el sentido de que los requisitos o documentos que no sean necesarios para la comparación de las ofertas pueden subsanarse, pero además introdujo otro criterio que le dio mayor claridad al tema: la asignación de puntaje. </w:t>
      </w:r>
    </w:p>
    <w:p w14:paraId="5F60D6A0"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2116AEE3" w14:textId="571EAA3B" w:rsidR="00C52F4E" w:rsidRPr="0081560D" w:rsidRDefault="00C52F4E" w:rsidP="00C52F4E">
      <w:pPr>
        <w:tabs>
          <w:tab w:val="left" w:pos="284"/>
        </w:tabs>
        <w:spacing w:after="120" w:line="276" w:lineRule="auto"/>
        <w:ind w:firstLine="709"/>
        <w:jc w:val="both"/>
        <w:rPr>
          <w:rFonts w:ascii="Arial" w:hAnsi="Arial" w:cs="Arial"/>
          <w:lang w:val="es-ES_tradnl"/>
        </w:rPr>
      </w:pPr>
      <w:r w:rsidRPr="0081560D">
        <w:rPr>
          <w:rFonts w:ascii="Arial" w:hAnsi="Arial" w:cs="Arial"/>
          <w:lang w:val="es-ES_tradnl"/>
        </w:rPr>
        <w:t xml:space="preserve">El artículo 5 de la Ley 1150 de 2007, además de consagrar un criterio más claro, y, de paso, reducir la discrecionalidad de la Administración, fijó un ámbito temporal para que las entidades requirieran la subsanación de las ofertas: </w:t>
      </w:r>
      <w:r w:rsidR="00E2629A">
        <w:rPr>
          <w:rFonts w:ascii="Arial" w:hAnsi="Arial" w:cs="Arial"/>
          <w:lang w:val="es-ES_tradnl"/>
        </w:rPr>
        <w:t>“</w:t>
      </w:r>
      <w:r w:rsidRPr="0081560D">
        <w:rPr>
          <w:rFonts w:ascii="Arial" w:hAnsi="Arial" w:cs="Arial"/>
          <w:lang w:val="es-ES_tradnl"/>
        </w:rPr>
        <w:t>en cualquier momento, hasta la adjudicación</w:t>
      </w:r>
      <w:r w:rsidR="00E2629A">
        <w:rPr>
          <w:rFonts w:ascii="Arial" w:hAnsi="Arial" w:cs="Arial"/>
          <w:lang w:val="es-ES_tradnl"/>
        </w:rPr>
        <w:t>”</w:t>
      </w:r>
      <w:r w:rsidRPr="0081560D">
        <w:rPr>
          <w:rFonts w:ascii="Arial" w:hAnsi="Arial" w:cs="Arial"/>
          <w:lang w:val="es-ES_tradnl"/>
        </w:rPr>
        <w:t xml:space="preserve">. Esa interpretación fue compartida por la </w:t>
      </w:r>
      <w:r w:rsidRPr="0081560D">
        <w:rPr>
          <w:rFonts w:ascii="Arial" w:eastAsia="Times New Roman" w:hAnsi="Arial" w:cs="Arial"/>
          <w:lang w:val="es-ES_tradnl" w:eastAsia="es-CO"/>
        </w:rPr>
        <w:t>Agencia Nacional de Contratación Pública – Colombia Compra Eficiente</w:t>
      </w:r>
      <w:r w:rsidRPr="0081560D">
        <w:rPr>
          <w:rFonts w:ascii="Arial" w:hAnsi="Arial" w:cs="Arial"/>
          <w:lang w:val="es-ES_tradnl"/>
        </w:rPr>
        <w:t>, pues en la Circular Externa Única se precisó que, si durante un Proceso de Contratación hay proponentes que no acreditaron en sus ofertas requisitos que no afectan la asignación de puntaje o la comparación de estas, la Entidad Estatal deberá indicarlo en el informe de evaluación y advertir que la correspondiente oferta puede ser subsanada.</w:t>
      </w:r>
    </w:p>
    <w:p w14:paraId="7E40107B" w14:textId="77777777" w:rsidR="00C52F4E" w:rsidRPr="0081560D" w:rsidRDefault="00C52F4E" w:rsidP="00C52F4E">
      <w:pPr>
        <w:tabs>
          <w:tab w:val="left" w:pos="284"/>
        </w:tabs>
        <w:spacing w:line="276" w:lineRule="auto"/>
        <w:ind w:firstLine="709"/>
        <w:contextualSpacing/>
        <w:jc w:val="both"/>
        <w:rPr>
          <w:rFonts w:ascii="Arial" w:eastAsia="Times New Roman" w:hAnsi="Arial" w:cs="Arial"/>
          <w:lang w:val="es-ES_tradnl" w:eastAsia="es-CO"/>
        </w:rPr>
      </w:pPr>
      <w:r w:rsidRPr="0081560D">
        <w:rPr>
          <w:rFonts w:ascii="Arial" w:eastAsia="Times New Roman" w:hAnsi="Arial" w:cs="Arial"/>
          <w:lang w:val="es-ES_tradnl" w:eastAsia="es-CO"/>
        </w:rPr>
        <w:lastRenderedPageBreak/>
        <w:t xml:space="preserve">Sin embargo, con la expedición de la Ley 1882 de 2018, con la finalidad de introducir cambios y ajustes para fortalecer la contratación pública, su artículo 5 modificó el parágrafo 1º del artículo 5 de la Ley 1150 de 2007 y, adicionó algunos otros, entre ellos el 4° del artículo 5 de la Ley 1150 de 2007: </w:t>
      </w:r>
    </w:p>
    <w:p w14:paraId="7AC52C9A" w14:textId="77777777" w:rsidR="00C52F4E" w:rsidRPr="0081560D" w:rsidRDefault="00C52F4E" w:rsidP="00C52F4E">
      <w:pPr>
        <w:spacing w:line="276" w:lineRule="auto"/>
        <w:ind w:left="709" w:right="709"/>
        <w:contextualSpacing/>
        <w:jc w:val="both"/>
        <w:rPr>
          <w:rFonts w:ascii="Arial" w:eastAsia="Arial" w:hAnsi="Arial" w:cs="Arial"/>
        </w:rPr>
      </w:pPr>
    </w:p>
    <w:p w14:paraId="794CFBC4" w14:textId="3A24D437" w:rsidR="00C52F4E" w:rsidRPr="0081560D" w:rsidRDefault="00E2629A" w:rsidP="00C52F4E">
      <w:pPr>
        <w:ind w:left="709" w:right="709"/>
        <w:contextualSpacing/>
        <w:jc w:val="both"/>
        <w:rPr>
          <w:rFonts w:ascii="Arial" w:eastAsia="Times New Roman" w:hAnsi="Arial" w:cs="Arial"/>
          <w:sz w:val="21"/>
          <w:szCs w:val="21"/>
          <w:lang w:val="es-ES_tradnl" w:eastAsia="es-CO"/>
        </w:rPr>
      </w:pPr>
      <w:r>
        <w:rPr>
          <w:rFonts w:ascii="Arial" w:eastAsia="Arial" w:hAnsi="Arial" w:cs="Arial"/>
          <w:sz w:val="21"/>
          <w:szCs w:val="21"/>
        </w:rPr>
        <w:t>“</w:t>
      </w:r>
      <w:r w:rsidR="00C52F4E" w:rsidRPr="0081560D">
        <w:rPr>
          <w:rFonts w:ascii="Arial" w:eastAsia="Times New Roman" w:hAnsi="Arial" w:cs="Arial"/>
          <w:sz w:val="21"/>
          <w:szCs w:val="21"/>
          <w:lang w:val="es-ES_tradnl" w:eastAsia="es-CO"/>
        </w:rPr>
        <w:t xml:space="preserve">Artículo 5°. De la selección objetiva. </w:t>
      </w:r>
    </w:p>
    <w:p w14:paraId="196376BB" w14:textId="77777777" w:rsidR="00C52F4E" w:rsidRPr="0081560D" w:rsidRDefault="00C52F4E" w:rsidP="00C52F4E">
      <w:pPr>
        <w:ind w:left="709" w:right="709"/>
        <w:contextualSpacing/>
        <w:jc w:val="both"/>
        <w:rPr>
          <w:rFonts w:ascii="Arial" w:eastAsia="Times New Roman" w:hAnsi="Arial" w:cs="Arial"/>
          <w:sz w:val="21"/>
          <w:szCs w:val="21"/>
          <w:lang w:val="es-ES_tradnl" w:eastAsia="es-CO"/>
        </w:rPr>
      </w:pPr>
    </w:p>
    <w:p w14:paraId="17CEA666" w14:textId="77777777" w:rsidR="00C52F4E" w:rsidRPr="0081560D" w:rsidRDefault="00C52F4E" w:rsidP="00C52F4E">
      <w:pPr>
        <w:ind w:left="709" w:right="709"/>
        <w:contextualSpacing/>
        <w:jc w:val="both"/>
        <w:rPr>
          <w:rFonts w:ascii="Arial" w:eastAsia="Times New Roman" w:hAnsi="Arial" w:cs="Arial"/>
          <w:sz w:val="21"/>
          <w:szCs w:val="21"/>
          <w:lang w:val="es-ES_tradnl" w:eastAsia="es-CO"/>
        </w:rPr>
      </w:pPr>
      <w:r w:rsidRPr="0081560D">
        <w:rPr>
          <w:rFonts w:ascii="Arial" w:eastAsia="Times New Roman" w:hAnsi="Arial" w:cs="Arial"/>
          <w:sz w:val="21"/>
          <w:szCs w:val="21"/>
          <w:lang w:val="es-ES_tradnl" w:eastAsia="es-CO"/>
        </w:rPr>
        <w:t>[... ]</w:t>
      </w:r>
    </w:p>
    <w:p w14:paraId="6DD24EF3" w14:textId="77777777" w:rsidR="00C52F4E" w:rsidRPr="0081560D" w:rsidRDefault="00C52F4E" w:rsidP="00C52F4E">
      <w:pPr>
        <w:ind w:left="709" w:right="709"/>
        <w:contextualSpacing/>
        <w:jc w:val="both"/>
        <w:rPr>
          <w:rFonts w:ascii="Arial" w:eastAsia="Times New Roman" w:hAnsi="Arial" w:cs="Arial"/>
          <w:sz w:val="21"/>
          <w:szCs w:val="21"/>
          <w:lang w:val="es-ES_tradnl" w:eastAsia="es-CO"/>
        </w:rPr>
      </w:pPr>
    </w:p>
    <w:p w14:paraId="382BAD73" w14:textId="0F4662E4" w:rsidR="00C52F4E" w:rsidRPr="0081560D" w:rsidRDefault="00C52F4E" w:rsidP="00C52F4E">
      <w:pPr>
        <w:ind w:left="709" w:right="709"/>
        <w:contextualSpacing/>
        <w:jc w:val="both"/>
        <w:rPr>
          <w:rFonts w:ascii="Arial" w:eastAsia="Times New Roman" w:hAnsi="Arial" w:cs="Arial"/>
          <w:sz w:val="21"/>
          <w:szCs w:val="21"/>
          <w:lang w:val="es-ES_tradnl" w:eastAsia="es-CO"/>
        </w:rPr>
      </w:pPr>
      <w:r w:rsidRPr="0081560D">
        <w:rPr>
          <w:rFonts w:ascii="Arial" w:eastAsia="Times New Roman" w:hAnsi="Arial" w:cs="Arial"/>
          <w:sz w:val="21"/>
          <w:szCs w:val="21"/>
          <w:lang w:val="es-ES_tradnl" w:eastAsia="es-CO"/>
        </w:rPr>
        <w:t>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w:t>
      </w:r>
      <w:r w:rsidR="00E2629A">
        <w:rPr>
          <w:rFonts w:ascii="Arial" w:eastAsia="Times New Roman" w:hAnsi="Arial" w:cs="Arial"/>
          <w:sz w:val="21"/>
          <w:szCs w:val="21"/>
          <w:lang w:val="es-ES_tradnl" w:eastAsia="es-CO"/>
        </w:rPr>
        <w:t>”</w:t>
      </w:r>
      <w:r w:rsidRPr="0081560D">
        <w:rPr>
          <w:rFonts w:ascii="Arial" w:eastAsia="Times New Roman" w:hAnsi="Arial" w:cs="Arial"/>
          <w:sz w:val="21"/>
          <w:szCs w:val="21"/>
          <w:lang w:val="es-ES_tradnl" w:eastAsia="es-CO"/>
        </w:rPr>
        <w:t xml:space="preserve"> </w:t>
      </w:r>
    </w:p>
    <w:p w14:paraId="7EA9E147" w14:textId="77777777" w:rsidR="00C52F4E" w:rsidRPr="0081560D" w:rsidRDefault="00C52F4E" w:rsidP="00C52F4E">
      <w:pPr>
        <w:spacing w:line="276" w:lineRule="auto"/>
        <w:ind w:left="709" w:right="709"/>
        <w:contextualSpacing/>
        <w:jc w:val="both"/>
        <w:rPr>
          <w:rFonts w:ascii="Arial" w:eastAsia="Times New Roman" w:hAnsi="Arial" w:cs="Arial"/>
          <w:lang w:val="es-ES_tradnl" w:eastAsia="es-CO"/>
        </w:rPr>
      </w:pPr>
    </w:p>
    <w:p w14:paraId="56344C17"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Como puede observarse, la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algunos aspectos que se analizarán a continuación. </w:t>
      </w:r>
    </w:p>
    <w:p w14:paraId="2F57EC64" w14:textId="725F6891" w:rsidR="00C52F4E" w:rsidRPr="0081560D" w:rsidRDefault="00C52F4E" w:rsidP="00C52F4E">
      <w:pPr>
        <w:spacing w:after="120" w:line="276" w:lineRule="auto"/>
        <w:ind w:right="51" w:firstLine="709"/>
        <w:jc w:val="both"/>
        <w:rPr>
          <w:rFonts w:ascii="Arial" w:hAnsi="Arial" w:cs="Arial"/>
          <w:lang w:val="es-ES_tradnl"/>
        </w:rPr>
      </w:pPr>
      <w:r w:rsidRPr="0081560D">
        <w:rPr>
          <w:rFonts w:ascii="Arial" w:hAnsi="Arial" w:cs="Arial"/>
          <w:i/>
          <w:iCs/>
          <w:lang w:val="es-ES_tradnl"/>
        </w:rPr>
        <w:t>El primero</w:t>
      </w:r>
      <w:r w:rsidRPr="0081560D">
        <w:rPr>
          <w:rFonts w:ascii="Arial" w:hAnsi="Arial" w:cs="Arial"/>
          <w:lang w:val="es-ES_tradnl"/>
        </w:rPr>
        <w:t xml:space="preserve">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límite anterior no aplica para los procesos de mínima cuantía</w:t>
      </w:r>
      <w:r w:rsidR="00213F31">
        <w:rPr>
          <w:rStyle w:val="Refdenotaalpie"/>
          <w:rFonts w:ascii="Arial" w:hAnsi="Arial" w:cs="Arial"/>
          <w:lang w:val="es-ES_tradnl"/>
        </w:rPr>
        <w:footnoteReference w:id="12"/>
      </w:r>
      <w:r w:rsidRPr="0081560D">
        <w:rPr>
          <w:rFonts w:ascii="Arial" w:hAnsi="Arial" w:cs="Arial"/>
          <w:lang w:val="es-ES_tradnl"/>
        </w:rPr>
        <w:t xml:space="preserve"> y para el proceso de selección a través del sistema de subasta</w:t>
      </w:r>
      <w:r w:rsidRPr="0081560D">
        <w:rPr>
          <w:rFonts w:ascii="Arial" w:hAnsi="Arial" w:cs="Arial"/>
          <w:vertAlign w:val="superscript"/>
          <w:lang w:val="es-ES_tradnl"/>
        </w:rPr>
        <w:footnoteReference w:id="13"/>
      </w:r>
      <w:r w:rsidRPr="0081560D">
        <w:rPr>
          <w:rFonts w:ascii="Arial" w:hAnsi="Arial" w:cs="Arial"/>
          <w:lang w:val="es-ES_tradnl"/>
        </w:rPr>
        <w:t xml:space="preserve">; en el último los documentos o requisitos subsanables pueden y deben solicitarse hasta el momento previo a la celebración de la audiencia. En cuanto al proceso de mínima cuantía, el Decreto 1860 de 2021 que modifica el </w:t>
      </w:r>
      <w:r w:rsidRPr="0081560D">
        <w:rPr>
          <w:rFonts w:ascii="Arial" w:hAnsi="Arial" w:cs="Arial"/>
          <w:lang w:val="es-ES_tradnl"/>
        </w:rPr>
        <w:lastRenderedPageBreak/>
        <w:t>Decreto 1082 de 2015, en su artículo 2.2.1.2.1.5.2., numeral 5° dispone que sin perjuicio de la oportunidad que deben otorgar las Entidades para subsanar las ofertas, de acuerdo con el artículo 5 de la Ley 1150 de 2007, para lo cual se establecerá un término preclusivo para recibir los documentos subsanables. En el evento que no se regule este término los proponentes podrán subsanar sus ofertas hasta antes que finalice el traslado del informe de evaluación</w:t>
      </w:r>
      <w:r w:rsidRPr="0081560D">
        <w:rPr>
          <w:rFonts w:ascii="Arial" w:hAnsi="Arial" w:cs="Arial"/>
          <w:vertAlign w:val="superscript"/>
          <w:lang w:val="es-ES_tradnl"/>
        </w:rPr>
        <w:footnoteReference w:id="14"/>
      </w:r>
      <w:r w:rsidRPr="0081560D">
        <w:rPr>
          <w:rFonts w:ascii="Arial" w:hAnsi="Arial" w:cs="Arial"/>
          <w:lang w:val="es-ES_tradnl"/>
        </w:rPr>
        <w:t xml:space="preserve">. </w:t>
      </w:r>
    </w:p>
    <w:p w14:paraId="5B149098" w14:textId="05453C44"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Frente a la regla general aplicable a los demás procesos de selección, la norma fijó un límite final para que la Administración y los oferentes subsanen los requisitos o documentos que puedan y deban ser subsanados, pero nada impide, y la norma no lo hace, que la Administración requiera al proponente antes de publicar el informe de evaluación. En efecto, la redacción de la norma permite que la Administración solicite a los oferentes subsanar y que estos lo hagan hasta antes del término del traslado del informe de evaluación: </w:t>
      </w:r>
      <w:r w:rsidR="00E2629A">
        <w:rPr>
          <w:rFonts w:ascii="Arial" w:hAnsi="Arial" w:cs="Arial"/>
          <w:lang w:val="es-ES_tradnl"/>
        </w:rPr>
        <w:t>“</w:t>
      </w:r>
      <w:r w:rsidRPr="0081560D">
        <w:rPr>
          <w:rFonts w:ascii="Arial" w:hAnsi="Arial" w:cs="Arial"/>
          <w:i/>
          <w:iCs/>
          <w:lang w:val="es-ES_tradnl"/>
        </w:rPr>
        <w:t>deberán ser solicitados por las entidades estatales y deberán ser entregados por los proponentes hasta el término de traslado del informe de evaluación que corresponda a cada modalidad de selección</w:t>
      </w:r>
      <w:r w:rsidR="00E2629A">
        <w:rPr>
          <w:rFonts w:ascii="Arial" w:hAnsi="Arial" w:cs="Arial"/>
          <w:i/>
          <w:iCs/>
          <w:lang w:val="es-ES_tradnl"/>
        </w:rPr>
        <w:t>”</w:t>
      </w:r>
      <w:r w:rsidRPr="0081560D">
        <w:rPr>
          <w:rFonts w:ascii="Arial" w:hAnsi="Arial" w:cs="Arial"/>
          <w:i/>
          <w:iCs/>
          <w:lang w:val="es-ES_tradnl"/>
        </w:rPr>
        <w:t>.</w:t>
      </w:r>
      <w:r w:rsidRPr="0081560D">
        <w:rPr>
          <w:rFonts w:ascii="Arial" w:hAnsi="Arial" w:cs="Arial"/>
          <w:lang w:val="es-ES_tradnl"/>
        </w:rPr>
        <w:t xml:space="preserve"> </w:t>
      </w:r>
    </w:p>
    <w:p w14:paraId="3EFBF002"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w:t>
      </w:r>
      <w:r w:rsidRPr="0081560D">
        <w:rPr>
          <w:rFonts w:ascii="Arial" w:hAnsi="Arial" w:cs="Arial"/>
          <w:i/>
          <w:iCs/>
          <w:lang w:val="es-ES_tradnl"/>
        </w:rPr>
        <w:t>límite</w:t>
      </w:r>
      <w:r w:rsidRPr="0081560D">
        <w:rPr>
          <w:rFonts w:ascii="Arial" w:hAnsi="Arial" w:cs="Arial"/>
          <w:lang w:val="es-ES_tradnl"/>
        </w:rPr>
        <w:t xml:space="preserve"> para la subsanación de ofertas, pero no el único momento para hacerlo. </w:t>
      </w:r>
    </w:p>
    <w:p w14:paraId="62335FEE"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De acuerdo con la primera interpretación, el informe de evaluación se convierte en la oportunidad que adopta la Administración para decirles a los oferentes qué documentos o requisitos omitieron y deben subsanar y, consecuentemente, el término del traslado es la oportunidad del proponente para cumplir con lo solicitado.  </w:t>
      </w:r>
    </w:p>
    <w:p w14:paraId="67F41A2E"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La segunda interpretación permitiría que la Administración requiera al oferente durante el proceso de evaluación de las propuestas, tan pronto advierta que hace falta un documento o requisito que se puede subsanar. En este caso, el proceso de subsanación se podría realizar con anterioridad a la publicación del informe de evaluación, de manera que, una vez se publique el </w:t>
      </w:r>
      <w:r w:rsidRPr="0081560D">
        <w:rPr>
          <w:rFonts w:ascii="Arial" w:hAnsi="Arial" w:cs="Arial"/>
          <w:lang w:val="es-ES_tradnl"/>
        </w:rPr>
        <w:lastRenderedPageBreak/>
        <w:t>informe ya se encuentren subsanadas las propuestas, sin perjuicio del término límite que concedió la ley,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w:t>
      </w:r>
    </w:p>
    <w:p w14:paraId="1A9D460F" w14:textId="5E8293C2"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El segundo cambio importante de la Ley 1882 de 2018 fue la introducción de un criterio material, directamente relacionado con los aspectos subsanables: </w:t>
      </w:r>
      <w:r w:rsidR="00E2629A">
        <w:rPr>
          <w:rFonts w:ascii="Arial" w:hAnsi="Arial" w:cs="Arial"/>
          <w:i/>
          <w:iCs/>
          <w:lang w:val="es-ES_tradnl"/>
        </w:rPr>
        <w:t>“</w:t>
      </w:r>
      <w:r w:rsidRPr="0081560D">
        <w:rPr>
          <w:rFonts w:ascii="Arial" w:hAnsi="Arial" w:cs="Arial"/>
          <w:i/>
          <w:iCs/>
          <w:lang w:val="es-ES_tradnl"/>
        </w:rPr>
        <w:t>los proponentes no podrán acreditar circunstancias ocurridas con posterioridad al cierre del proceso</w:t>
      </w:r>
      <w:r w:rsidR="00E2629A">
        <w:rPr>
          <w:rFonts w:ascii="Arial" w:hAnsi="Arial" w:cs="Arial"/>
          <w:i/>
          <w:iCs/>
          <w:lang w:val="es-ES_tradnl"/>
        </w:rPr>
        <w:t>”</w:t>
      </w:r>
      <w:r w:rsidRPr="0081560D">
        <w:rPr>
          <w:rFonts w:ascii="Arial" w:hAnsi="Arial" w:cs="Arial"/>
          <w:i/>
          <w:iCs/>
          <w:lang w:val="es-ES_tradnl"/>
        </w:rPr>
        <w:t>.</w:t>
      </w:r>
      <w:r w:rsidRPr="0081560D">
        <w:rPr>
          <w:rFonts w:ascii="Arial" w:hAnsi="Arial" w:cs="Arial"/>
          <w:lang w:val="es-ES_tradnl"/>
        </w:rPr>
        <w:t xml:space="preserve"> Lo anterior ofrece dos aspectos que merecen clarificación; primero, qué debe entenderse por circunstancias ocurridas con posterioridad; y segundo, qué es el cierre del proceso. </w:t>
      </w:r>
    </w:p>
    <w:p w14:paraId="1E955DC8" w14:textId="7D64B9B2"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w:t>
      </w:r>
      <w:r w:rsidR="00E2629A">
        <w:rPr>
          <w:rFonts w:ascii="Arial" w:hAnsi="Arial" w:cs="Arial"/>
          <w:lang w:val="es-ES_tradnl"/>
        </w:rPr>
        <w:t>“</w:t>
      </w:r>
      <w:r w:rsidRPr="0081560D">
        <w:rPr>
          <w:rFonts w:ascii="Arial" w:hAnsi="Arial" w:cs="Arial"/>
          <w:lang w:val="es-ES_tradnl"/>
        </w:rPr>
        <w:t>cierre del proceso</w:t>
      </w:r>
      <w:r w:rsidR="00E2629A">
        <w:rPr>
          <w:rFonts w:ascii="Arial" w:hAnsi="Arial" w:cs="Arial"/>
          <w:lang w:val="es-ES_tradnl"/>
        </w:rPr>
        <w:t>”</w:t>
      </w:r>
      <w:r w:rsidRPr="0081560D">
        <w:rPr>
          <w:rFonts w:ascii="Arial" w:hAnsi="Arial" w:cs="Arial"/>
          <w:lang w:val="es-ES_tradnl"/>
        </w:rPr>
        <w:t xml:space="preserve">.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633B7B33" w14:textId="306B7A32"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Un mejor entendimiento del significado de la expresión </w:t>
      </w:r>
      <w:r w:rsidR="00E2629A">
        <w:rPr>
          <w:rFonts w:ascii="Arial" w:hAnsi="Arial" w:cs="Arial"/>
          <w:i/>
          <w:iCs/>
          <w:lang w:val="es-ES_tradnl"/>
        </w:rPr>
        <w:t>“</w:t>
      </w:r>
      <w:r w:rsidRPr="0081560D">
        <w:rPr>
          <w:rFonts w:ascii="Arial" w:hAnsi="Arial" w:cs="Arial"/>
          <w:i/>
          <w:iCs/>
          <w:lang w:val="es-ES_tradnl"/>
        </w:rPr>
        <w:t>circunstancias ocurridas con posterioridad al cierre del proceso</w:t>
      </w:r>
      <w:r w:rsidR="00E2629A">
        <w:rPr>
          <w:rFonts w:ascii="Arial" w:hAnsi="Arial" w:cs="Arial"/>
          <w:i/>
          <w:iCs/>
          <w:lang w:val="es-ES_tradnl"/>
        </w:rPr>
        <w:t>”</w:t>
      </w:r>
      <w:r w:rsidRPr="0081560D">
        <w:rPr>
          <w:rFonts w:ascii="Arial" w:hAnsi="Arial" w:cs="Arial"/>
          <w:lang w:val="es-ES_tradnl"/>
        </w:rPr>
        <w:t xml:space="preserve"> implica distinguir entre la prueba de un hecho y el hecho mismo. En el caso de la subsanabilidad de las ofertas, una cosa es el requisito habilitante o el elemento de la propuesta y otra su prueba. Lo que prohíbe la norma es que se subsanen requisitos que no estaban materialmente cumplidos al momento de presentación de la oferta, o en palabras de la ley, que se acrediten hechos que ocurrieron después del cierre del proceso</w:t>
      </w:r>
      <w:r w:rsidRPr="0081560D">
        <w:rPr>
          <w:rFonts w:ascii="Arial" w:hAnsi="Arial" w:cs="Arial"/>
          <w:vertAlign w:val="superscript"/>
          <w:lang w:val="es-ES_tradnl"/>
        </w:rPr>
        <w:footnoteReference w:id="15"/>
      </w:r>
      <w:r w:rsidRPr="0081560D">
        <w:rPr>
          <w:rFonts w:ascii="Arial" w:hAnsi="Arial" w:cs="Arial"/>
          <w:lang w:val="es-ES_tradnl"/>
        </w:rPr>
        <w:t xml:space="preserve">. </w:t>
      </w:r>
    </w:p>
    <w:p w14:paraId="7BF2408B" w14:textId="77777777"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lastRenderedPageBreak/>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estando está en firme para dicho momento;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81560D">
        <w:rPr>
          <w:rFonts w:ascii="Arial" w:hAnsi="Arial" w:cs="Arial"/>
          <w:vertAlign w:val="superscript"/>
          <w:lang w:val="es-ES_tradnl"/>
        </w:rPr>
        <w:footnoteReference w:id="16"/>
      </w:r>
      <w:r w:rsidRPr="0081560D">
        <w:rPr>
          <w:rFonts w:ascii="Arial" w:hAnsi="Arial" w:cs="Arial"/>
          <w:lang w:val="es-ES_tradnl"/>
        </w:rPr>
        <w:t>; iii) si un oferente no anexó el Certificado de existencia y representación legal, el documento aportado con posterioridad debe dar cuenta de que la sociedad existía antes del cierre del proceso</w:t>
      </w:r>
      <w:r w:rsidRPr="0081560D">
        <w:rPr>
          <w:rFonts w:ascii="Arial" w:hAnsi="Arial" w:cs="Arial"/>
          <w:vertAlign w:val="superscript"/>
          <w:lang w:val="es-ES_tradnl"/>
        </w:rPr>
        <w:footnoteReference w:id="17"/>
      </w:r>
      <w:r w:rsidRPr="0081560D">
        <w:rPr>
          <w:rFonts w:ascii="Arial" w:hAnsi="Arial" w:cs="Arial"/>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17A31FB7" w14:textId="567D81FF" w:rsidR="00C52F4E" w:rsidRPr="0081560D" w:rsidRDefault="00C52F4E" w:rsidP="00C52F4E">
      <w:pPr>
        <w:spacing w:after="120" w:line="276" w:lineRule="auto"/>
        <w:ind w:firstLine="709"/>
        <w:jc w:val="both"/>
        <w:rPr>
          <w:rFonts w:ascii="Arial" w:hAnsi="Arial" w:cs="Arial"/>
          <w:i/>
          <w:iCs/>
          <w:lang w:val="es-ES_tradnl"/>
        </w:rPr>
      </w:pPr>
      <w:r w:rsidRPr="0081560D">
        <w:rPr>
          <w:rFonts w:ascii="Arial" w:hAnsi="Arial" w:cs="Arial"/>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Es por esto </w:t>
      </w:r>
      <w:proofErr w:type="gramStart"/>
      <w:r w:rsidRPr="0081560D">
        <w:rPr>
          <w:rFonts w:ascii="Arial" w:hAnsi="Arial" w:cs="Arial"/>
          <w:lang w:val="es-ES_tradnl"/>
        </w:rPr>
        <w:t>que</w:t>
      </w:r>
      <w:proofErr w:type="gramEnd"/>
      <w:r w:rsidRPr="0081560D">
        <w:rPr>
          <w:rFonts w:ascii="Arial" w:hAnsi="Arial" w:cs="Arial"/>
          <w:lang w:val="es-ES_tradnl"/>
        </w:rPr>
        <w:t xml:space="preserve"> el Consejo de Estado sostiene que </w:t>
      </w:r>
      <w:r w:rsidR="00E2629A">
        <w:rPr>
          <w:rFonts w:ascii="Arial" w:hAnsi="Arial" w:cs="Arial"/>
          <w:lang w:val="es-ES_tradnl"/>
        </w:rPr>
        <w:t>“</w:t>
      </w:r>
      <w:r w:rsidRPr="0081560D">
        <w:rPr>
          <w:rFonts w:ascii="Arial" w:hAnsi="Arial" w:cs="Arial"/>
          <w:i/>
          <w:iCs/>
          <w:lang w:val="es-ES_tradnl"/>
        </w:rPr>
        <w:t>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00E2629A">
        <w:rPr>
          <w:rFonts w:ascii="Arial" w:hAnsi="Arial" w:cs="Arial"/>
          <w:i/>
          <w:iCs/>
          <w:lang w:val="es-ES_tradnl"/>
        </w:rPr>
        <w:t>”</w:t>
      </w:r>
      <w:r w:rsidRPr="0081560D">
        <w:rPr>
          <w:rFonts w:ascii="Arial" w:hAnsi="Arial" w:cs="Arial"/>
          <w:i/>
          <w:iCs/>
          <w:vertAlign w:val="superscript"/>
          <w:lang w:val="es-ES_tradnl"/>
        </w:rPr>
        <w:footnoteReference w:id="18"/>
      </w:r>
      <w:r w:rsidRPr="0081560D">
        <w:rPr>
          <w:rFonts w:ascii="Arial" w:hAnsi="Arial" w:cs="Arial"/>
          <w:i/>
          <w:iCs/>
          <w:lang w:val="es-ES_tradnl"/>
        </w:rPr>
        <w:t xml:space="preserve">. </w:t>
      </w:r>
    </w:p>
    <w:p w14:paraId="680475D6" w14:textId="607875D3" w:rsidR="00C52F4E" w:rsidRPr="0081560D" w:rsidRDefault="00C52F4E" w:rsidP="00C52F4E">
      <w:pPr>
        <w:spacing w:after="120" w:line="276" w:lineRule="auto"/>
        <w:ind w:firstLine="709"/>
        <w:jc w:val="both"/>
        <w:rPr>
          <w:rFonts w:ascii="Arial" w:hAnsi="Arial" w:cs="Arial"/>
          <w:lang w:val="es-ES_tradnl"/>
        </w:rPr>
      </w:pPr>
      <w:r w:rsidRPr="0081560D">
        <w:rPr>
          <w:rFonts w:ascii="Arial" w:hAnsi="Arial" w:cs="Arial"/>
          <w:lang w:val="es-ES_tradnl"/>
        </w:rPr>
        <w:t xml:space="preserve">Visto lo anterior, una vez verificada la ausencia de requisitos y/o documentos de la oferta, para efectos de saber si se pueden subsanar, la Administración se debe preguntar, en primer lugar, si lo que hace falta es un documento que afecte la asignación de puntaje o no, en segundo lugar, si el cumplimiento del requisito constituye una circunstancia ocurrida con anterioridad o con posterioridad al cierre del </w:t>
      </w:r>
      <w:r w:rsidR="00553963" w:rsidRPr="0081560D">
        <w:rPr>
          <w:rFonts w:ascii="Arial" w:hAnsi="Arial" w:cs="Arial"/>
          <w:lang w:val="es-ES_tradnl"/>
        </w:rPr>
        <w:t>proceso</w:t>
      </w:r>
      <w:r w:rsidR="00553963">
        <w:rPr>
          <w:rFonts w:ascii="Arial" w:hAnsi="Arial" w:cs="Arial"/>
          <w:lang w:val="es-ES_tradnl"/>
        </w:rPr>
        <w:t xml:space="preserve">, y, en tercer lugar, si existe prohibición legal </w:t>
      </w:r>
      <w:r w:rsidR="008C675F">
        <w:rPr>
          <w:rFonts w:ascii="Arial" w:hAnsi="Arial" w:cs="Arial"/>
          <w:lang w:val="es-ES_tradnl"/>
        </w:rPr>
        <w:t xml:space="preserve">o en el pliego de </w:t>
      </w:r>
      <w:r w:rsidR="008C675F">
        <w:rPr>
          <w:rFonts w:ascii="Arial" w:hAnsi="Arial" w:cs="Arial"/>
          <w:lang w:val="es-ES_tradnl"/>
        </w:rPr>
        <w:lastRenderedPageBreak/>
        <w:t xml:space="preserve">condiciones </w:t>
      </w:r>
      <w:r w:rsidR="00553963">
        <w:rPr>
          <w:rFonts w:ascii="Arial" w:hAnsi="Arial" w:cs="Arial"/>
          <w:lang w:val="es-ES_tradnl"/>
        </w:rPr>
        <w:t xml:space="preserve">para su </w:t>
      </w:r>
      <w:r w:rsidR="00BC7685">
        <w:rPr>
          <w:rFonts w:ascii="Arial" w:hAnsi="Arial" w:cs="Arial"/>
          <w:lang w:val="es-ES_tradnl"/>
        </w:rPr>
        <w:t>subsanación.</w:t>
      </w:r>
      <w:r w:rsidRPr="0081560D">
        <w:rPr>
          <w:rFonts w:ascii="Arial" w:hAnsi="Arial" w:cs="Arial"/>
          <w:lang w:val="es-ES_tradnl"/>
        </w:rPr>
        <w:t xml:space="preserve"> Para arribar a la conclusión de que lo omitido puede subsanarse, la respuesta al primer interrogante debe ser negativa, es decir, que lo omitido no sea un factor que afecte la asignación de puntaje</w:t>
      </w:r>
      <w:r w:rsidR="009C3F65">
        <w:rPr>
          <w:rFonts w:ascii="Arial" w:hAnsi="Arial" w:cs="Arial"/>
          <w:lang w:val="es-ES_tradnl"/>
        </w:rPr>
        <w:t xml:space="preserve">, </w:t>
      </w:r>
      <w:r w:rsidRPr="0081560D">
        <w:rPr>
          <w:rFonts w:ascii="Arial" w:hAnsi="Arial" w:cs="Arial"/>
          <w:lang w:val="es-ES_tradnl"/>
        </w:rPr>
        <w:t>la respuesta al segundo interrogante debe dar cuenta de que lo omitido sea la prueba de una circunstancia o hecho que ocurrió con anterioridad al cierre del proceso</w:t>
      </w:r>
      <w:r w:rsidR="009C3F65">
        <w:rPr>
          <w:rFonts w:ascii="Arial" w:hAnsi="Arial" w:cs="Arial"/>
          <w:lang w:val="es-ES_tradnl"/>
        </w:rPr>
        <w:t xml:space="preserve"> y la respuesta a lo tercero debe ser que no existe disposición legal </w:t>
      </w:r>
      <w:r w:rsidR="008C675F">
        <w:rPr>
          <w:rFonts w:ascii="Arial" w:hAnsi="Arial" w:cs="Arial"/>
          <w:lang w:val="es-ES_tradnl"/>
        </w:rPr>
        <w:t xml:space="preserve">o en el pliego de condiciones </w:t>
      </w:r>
      <w:r w:rsidR="009C3F65">
        <w:rPr>
          <w:rFonts w:ascii="Arial" w:hAnsi="Arial" w:cs="Arial"/>
          <w:lang w:val="es-ES_tradnl"/>
        </w:rPr>
        <w:t>que prohíba su subsanación</w:t>
      </w:r>
      <w:r w:rsidRPr="0081560D">
        <w:rPr>
          <w:rFonts w:ascii="Arial" w:hAnsi="Arial" w:cs="Arial"/>
          <w:lang w:val="es-ES_tradnl"/>
        </w:rPr>
        <w:t xml:space="preserve">. </w:t>
      </w:r>
    </w:p>
    <w:p w14:paraId="0E298217" w14:textId="61DE86F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 xml:space="preserve">Ahora bien, la Agencia debe diferenciar entre la regla sobre subsanación de ofertas en los procedimientos de selección, que acaba de explicarse, por un lado, y por el otro lo referido a la </w:t>
      </w:r>
      <w:r w:rsidRPr="0081560D">
        <w:rPr>
          <w:rFonts w:ascii="Arial" w:hAnsi="Arial" w:cs="Arial"/>
          <w:bCs/>
          <w:i/>
          <w:iCs/>
        </w:rPr>
        <w:t>aclaración de las ofertas</w:t>
      </w:r>
      <w:r w:rsidRPr="0081560D">
        <w:rPr>
          <w:rFonts w:ascii="Arial" w:hAnsi="Arial" w:cs="Arial"/>
          <w:bCs/>
        </w:rPr>
        <w:t xml:space="preserve">, cuestiones que resultan ser distintas, sin perjuicio de que ambas puedan ser considerados como elementos propios del principio de selección objetiva. Así, en aras de que la entidad, al momento de evaluar las ofertas recibidas, pueda realizar tal evaluación de manera adecuada y contando con los elementos de juicio suficientes y necesarios para la comprensión integral de cada documento contenido en la oferta, puede acudir a la facultad que le otorga expresamente el numeral 7 del artículo 30 de la Ley 80 de 1993. Dicha norma señala que entre los componentes que deberá contener el pliego de condiciones incluye al </w:t>
      </w:r>
      <w:r w:rsidR="00E2629A">
        <w:rPr>
          <w:rFonts w:ascii="Arial" w:hAnsi="Arial" w:cs="Arial"/>
          <w:bCs/>
        </w:rPr>
        <w:t>“</w:t>
      </w:r>
      <w:r w:rsidRPr="0081560D">
        <w:rPr>
          <w:rFonts w:ascii="Arial" w:hAnsi="Arial" w:cs="Arial"/>
          <w:bCs/>
          <w:i/>
          <w:iCs/>
        </w:rPr>
        <w:t>plazo razonable dentro del cual la entidad deberá elaborar los estudios técnicos, económicos y jurídicos necesarios para la evaluación de las propuestas y para solicitar a los proponentes las aclaraciones y explicaciones que se estimen indispensables</w:t>
      </w:r>
      <w:r w:rsidR="00E2629A">
        <w:rPr>
          <w:rFonts w:ascii="Arial" w:hAnsi="Arial" w:cs="Arial"/>
          <w:bCs/>
          <w:i/>
          <w:iCs/>
        </w:rPr>
        <w:t>”</w:t>
      </w:r>
      <w:r w:rsidRPr="0081560D">
        <w:rPr>
          <w:rFonts w:ascii="Arial" w:hAnsi="Arial" w:cs="Arial"/>
          <w:bCs/>
          <w:i/>
          <w:iCs/>
        </w:rPr>
        <w:t>.</w:t>
      </w:r>
      <w:r w:rsidRPr="0081560D">
        <w:rPr>
          <w:rFonts w:ascii="Arial" w:hAnsi="Arial" w:cs="Arial"/>
          <w:bCs/>
        </w:rPr>
        <w:t xml:space="preserve"> </w:t>
      </w:r>
    </w:p>
    <w:p w14:paraId="69705CAF" w14:textId="7777777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 xml:space="preserve">La misma facultad en cabeza de la Administración se establece, entre otras, en el artículo 2.2.1.1.2.2.4. del Decreto 1082 de 2015, referido a las explicaciones que la Entidad Estatal deberá pedir al oferente, cuando advierta que su oferta contiene un precio artificialmente bajo. En similar sentido, el numeral 3 del artículo 2.2.1.2.1.3.12 incluye el deber de aclaración, en cabeza del organismo asesor dentro del concurso de arquitectura o la posibilidad con la que cuenta la Entidad Estatal para solicitar aclaraciones al originador del proyecto al tratarse de asociaciones público-privadas de iniciativa privada. Todas estas normas contienen ejemplos de aplicación del mismo principio de selección objetiva, porque pretenden que la entidad u organismo que evaluará la respectiva oferta o iniciativa, según el caso, cuente con el conocimiento e información veraz y suficiente para tomar una decisión acertada. </w:t>
      </w:r>
    </w:p>
    <w:p w14:paraId="16A0857C" w14:textId="7777777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En ese sentido, la facultad  de solicitar aclaraciones en cabeza de la entidad directora del proceso selección establecida, principal y genéricamente, en el artículo 30 de la Ley 80 de 1993, debe comprenderse bajo el entendido que el oferente cuya oferta requiera ser aclarada, no podrá, so pena de proceder de conformidad con el requerimiento de la entidad, realizar modificaciones que impliquen una mejora o alteración sustancial de la oferta, tal y como ha sido expresado por el Consejo de Estado.</w:t>
      </w:r>
    </w:p>
    <w:p w14:paraId="272DACB5" w14:textId="7777777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 xml:space="preserve">Ahora bien, lo anterior no impide que se puedan hacer aclaraciones a las propuestas bien porque la Entidad Estatal las solicite en la etapa de evaluación de las mismas, o porque las realicen los oferentes en la etapa dispuesta para las observaciones a los informes de evaluación, pero siempre y cuando verse sobre aspectos meramente formales o adjetivos o que en todo caso </w:t>
      </w:r>
      <w:r w:rsidRPr="0081560D">
        <w:rPr>
          <w:rFonts w:ascii="Arial" w:hAnsi="Arial" w:cs="Arial"/>
          <w:bCs/>
        </w:rPr>
        <w:lastRenderedPageBreak/>
        <w:t>no comporten una variación o corrección del fondo de la propuesta a favor de quien las presenta y en detrimento de la posición de los demás proponentes en la evaluación, esto es, sujetas a condición de que con las mismas no se altere de manera sustancial la información inicialmente suministrada y la situación de los oferentes en el proceso de licitación. Por eso, como es posible que por vía aclaratoria los proponentes intenten modificar o mejorar sus ofertas, hay que distinguir entre las simples aclaraciones de las propuestas y las modificaciones a estas; las primeras son los medios para que se pueda hacer perceptible, manifiesto, explícito o inteligible algún aspecto confuso de la propuesta, sin implicar una complementación, adición, modificación o mejora de dicho aspecto, que es, precisamente, en lo que consisten las segundas.</w:t>
      </w:r>
    </w:p>
    <w:p w14:paraId="1E475A3F" w14:textId="77777777" w:rsidR="00C52F4E" w:rsidRPr="0081560D" w:rsidRDefault="00C52F4E" w:rsidP="00C52F4E">
      <w:pPr>
        <w:spacing w:before="120" w:line="276" w:lineRule="auto"/>
        <w:ind w:firstLine="709"/>
        <w:jc w:val="both"/>
        <w:rPr>
          <w:rFonts w:ascii="Arial" w:hAnsi="Arial" w:cs="Arial"/>
          <w:bCs/>
        </w:rPr>
      </w:pPr>
      <w:bookmarkStart w:id="5" w:name="_Hlk121294835"/>
      <w:r w:rsidRPr="0081560D">
        <w:rPr>
          <w:rFonts w:ascii="Arial" w:hAnsi="Arial" w:cs="Arial"/>
          <w:bCs/>
        </w:rPr>
        <w:t xml:space="preserve">La solicitud de aclaraciones permite que las entidades requieran a los proponentes esclarecer aspectos de sus propuestas que, en principio, resultan confusos para efectos de la evaluación, diferenciándose de la subsanabilidad, pues no parte del supuesto de la ausencia de requisitos de la oferta sino de la existencia de dudas en la misma, cuya explicación se requiere para la evaluar la propuesta. Esta diferencia es importante, pues </w:t>
      </w:r>
      <w:r w:rsidRPr="0081560D">
        <w:rPr>
          <w:rFonts w:ascii="Arial" w:hAnsi="Arial" w:cs="Arial"/>
          <w:bCs/>
          <w:i/>
          <w:iCs/>
        </w:rPr>
        <w:t>es posible aclarar los requisitos que asignan puntaje</w:t>
      </w:r>
      <w:bookmarkEnd w:id="5"/>
      <w:r w:rsidRPr="0081560D">
        <w:rPr>
          <w:rFonts w:ascii="Arial" w:hAnsi="Arial" w:cs="Arial"/>
          <w:bCs/>
        </w:rPr>
        <w:t>, tal como lo ha señalado la jurisprudencia en los siguientes términos:</w:t>
      </w:r>
    </w:p>
    <w:p w14:paraId="325DE918" w14:textId="77777777" w:rsidR="00C52F4E" w:rsidRPr="0081560D" w:rsidRDefault="00C52F4E" w:rsidP="00C52F4E">
      <w:pPr>
        <w:spacing w:line="276" w:lineRule="auto"/>
        <w:ind w:left="709" w:right="709"/>
        <w:contextualSpacing/>
        <w:jc w:val="both"/>
        <w:rPr>
          <w:rFonts w:ascii="Arial" w:hAnsi="Arial" w:cs="Arial"/>
          <w:bCs/>
        </w:rPr>
      </w:pPr>
    </w:p>
    <w:p w14:paraId="57C41F20" w14:textId="7DB051D6" w:rsidR="00C52F4E" w:rsidRPr="0081560D" w:rsidRDefault="00E2629A" w:rsidP="00C52F4E">
      <w:pPr>
        <w:ind w:left="709" w:right="709"/>
        <w:contextualSpacing/>
        <w:jc w:val="both"/>
        <w:rPr>
          <w:rFonts w:ascii="Arial" w:hAnsi="Arial" w:cs="Arial"/>
          <w:bCs/>
          <w:sz w:val="21"/>
          <w:szCs w:val="21"/>
        </w:rPr>
      </w:pPr>
      <w:bookmarkStart w:id="6" w:name="_3znysh7" w:colFirst="0" w:colLast="0"/>
      <w:bookmarkEnd w:id="6"/>
      <w:r>
        <w:rPr>
          <w:rFonts w:ascii="Arial" w:hAnsi="Arial" w:cs="Arial"/>
          <w:bCs/>
          <w:sz w:val="21"/>
          <w:szCs w:val="21"/>
        </w:rPr>
        <w:t>“</w:t>
      </w:r>
      <w:r w:rsidR="00C52F4E" w:rsidRPr="0081560D">
        <w:rPr>
          <w:rFonts w:ascii="Arial" w:hAnsi="Arial" w:cs="Arial"/>
          <w:bCs/>
          <w:sz w:val="21"/>
          <w:szCs w:val="21"/>
        </w:rPr>
        <w:t>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r>
        <w:rPr>
          <w:rFonts w:ascii="Arial" w:hAnsi="Arial" w:cs="Arial"/>
          <w:bCs/>
          <w:sz w:val="21"/>
          <w:szCs w:val="21"/>
        </w:rPr>
        <w:t>”</w:t>
      </w:r>
      <w:r w:rsidR="00C52F4E" w:rsidRPr="0081560D">
        <w:rPr>
          <w:rFonts w:ascii="Arial" w:hAnsi="Arial" w:cs="Arial"/>
          <w:bCs/>
          <w:sz w:val="21"/>
          <w:szCs w:val="21"/>
          <w:vertAlign w:val="superscript"/>
        </w:rPr>
        <w:footnoteReference w:id="19"/>
      </w:r>
    </w:p>
    <w:p w14:paraId="19EAED90" w14:textId="77777777" w:rsidR="00C52F4E" w:rsidRPr="0081560D" w:rsidRDefault="00C52F4E" w:rsidP="00C52F4E">
      <w:pPr>
        <w:spacing w:line="276" w:lineRule="auto"/>
        <w:ind w:left="709" w:right="709"/>
        <w:contextualSpacing/>
        <w:jc w:val="both"/>
        <w:rPr>
          <w:rFonts w:ascii="Arial" w:hAnsi="Arial" w:cs="Arial"/>
          <w:bCs/>
        </w:rPr>
      </w:pPr>
    </w:p>
    <w:p w14:paraId="64A8661B" w14:textId="77777777" w:rsidR="00C52F4E" w:rsidRPr="0081560D" w:rsidRDefault="00C52F4E" w:rsidP="00C52F4E">
      <w:pPr>
        <w:spacing w:after="120" w:line="276" w:lineRule="auto"/>
        <w:ind w:firstLine="709"/>
        <w:jc w:val="both"/>
        <w:rPr>
          <w:rFonts w:ascii="Arial" w:hAnsi="Arial" w:cs="Arial"/>
          <w:bCs/>
        </w:rPr>
      </w:pPr>
      <w:r w:rsidRPr="0081560D">
        <w:rPr>
          <w:rFonts w:ascii="Arial" w:hAnsi="Arial" w:cs="Arial"/>
          <w:bCs/>
        </w:rPr>
        <w:t xml:space="preserve">De tal forma que, tal y como lo expresó la alta Corporación, aclarar una oferta no puede implicar su alteración sustancial o mejoría de sus componentes, sino limitarse a disipar lo que resulta borroso u otorgar claridad a lo que resulta oscuro o ininteligible. En este punto, se concluye, es distinto aclarar y subsanar una oferta, siendo este último un instituto que procura </w:t>
      </w:r>
      <w:r w:rsidRPr="0081560D">
        <w:rPr>
          <w:rFonts w:ascii="Arial" w:hAnsi="Arial" w:cs="Arial"/>
          <w:bCs/>
        </w:rPr>
        <w:lastRenderedPageBreak/>
        <w:t xml:space="preserve">porque el oferente presente, dentro del plazo y bajo las condiciones dadas por la norma aplicable, los documentos que acrediten el cumplimiento de los requisitos exigidos como habilitantes para participar en el respectivo procedimiento de selección, mientras que la aclaración permite mejor el entendimiento de los elementos de la oferta, sean o no subsanables, para la correcta verificación y evaluación de los mismos por parte de la entidad pública.  </w:t>
      </w:r>
    </w:p>
    <w:p w14:paraId="2B620DE0" w14:textId="75DFB53F" w:rsidR="00C52F4E" w:rsidRPr="0081560D" w:rsidRDefault="00C52F4E" w:rsidP="00C52F4E">
      <w:pPr>
        <w:spacing w:after="120" w:line="276" w:lineRule="auto"/>
        <w:ind w:firstLine="709"/>
        <w:jc w:val="both"/>
        <w:rPr>
          <w:rFonts w:ascii="Arial" w:hAnsi="Arial" w:cs="Arial"/>
          <w:bCs/>
          <w:i/>
          <w:iCs/>
        </w:rPr>
      </w:pPr>
      <w:r w:rsidRPr="0081560D">
        <w:rPr>
          <w:rFonts w:ascii="Arial" w:hAnsi="Arial" w:cs="Arial"/>
          <w:bCs/>
        </w:rPr>
        <w:t>Ahora bien, como dispone el numeral 7 del artículo 30 de la Ley 80 de 1993, la aclaración de las propuestas se realiza durante la evaluación de estas, pues es necesario esclarecer los aspectos dudosos de las ofertas antes de la adjudicación</w:t>
      </w:r>
      <w:r w:rsidRPr="0081560D">
        <w:rPr>
          <w:rStyle w:val="Refdenotaalpie"/>
          <w:rFonts w:ascii="Arial" w:hAnsi="Arial" w:cs="Arial"/>
        </w:rPr>
        <w:footnoteReference w:id="20"/>
      </w:r>
      <w:r w:rsidRPr="0081560D">
        <w:rPr>
          <w:rFonts w:ascii="Arial" w:hAnsi="Arial" w:cs="Arial"/>
          <w:bCs/>
        </w:rPr>
        <w:t xml:space="preserve">. Por ello, la jurisprudencia también explica que </w:t>
      </w:r>
      <w:r w:rsidR="00E2629A">
        <w:rPr>
          <w:rFonts w:ascii="Arial" w:hAnsi="Arial" w:cs="Arial"/>
          <w:bCs/>
          <w:i/>
          <w:iCs/>
        </w:rPr>
        <w:t>“</w:t>
      </w:r>
      <w:r w:rsidRPr="0081560D">
        <w:rPr>
          <w:rFonts w:ascii="Arial" w:hAnsi="Arial" w:cs="Arial"/>
          <w:bCs/>
          <w:i/>
          <w:iCs/>
        </w:rPr>
        <w:t>[…] el proponente debe acogerse al tiempo que le otorga la administración para subsanar o aclarar la oferta, lapso que la entidad no puede extender más allá de la adjudicación […]</w:t>
      </w:r>
      <w:r w:rsidR="00E2629A">
        <w:rPr>
          <w:rFonts w:ascii="Arial" w:hAnsi="Arial" w:cs="Arial"/>
          <w:bCs/>
          <w:i/>
          <w:iCs/>
        </w:rPr>
        <w:t>”</w:t>
      </w:r>
      <w:r w:rsidRPr="0081560D">
        <w:rPr>
          <w:rFonts w:ascii="Arial" w:hAnsi="Arial" w:cs="Arial"/>
          <w:bCs/>
          <w:i/>
          <w:iCs/>
          <w:vertAlign w:val="superscript"/>
        </w:rPr>
        <w:footnoteReference w:id="21"/>
      </w:r>
      <w:r w:rsidRPr="0081560D">
        <w:rPr>
          <w:rFonts w:ascii="Arial" w:hAnsi="Arial" w:cs="Arial"/>
          <w:bCs/>
          <w:i/>
          <w:iCs/>
        </w:rPr>
        <w:t>.</w:t>
      </w:r>
      <w:r w:rsidRPr="0081560D">
        <w:rPr>
          <w:rFonts w:ascii="Arial" w:hAnsi="Arial" w:cs="Arial"/>
          <w:bCs/>
        </w:rPr>
        <w:t xml:space="preserve"> De esta manera, </w:t>
      </w:r>
      <w:r w:rsidR="00E2629A">
        <w:rPr>
          <w:rFonts w:ascii="Arial" w:hAnsi="Arial" w:cs="Arial"/>
          <w:bCs/>
        </w:rPr>
        <w:t>“</w:t>
      </w:r>
      <w:r w:rsidRPr="0081560D">
        <w:rPr>
          <w:rFonts w:ascii="Arial" w:hAnsi="Arial" w:cs="Arial"/>
          <w:bCs/>
          <w:i/>
          <w:iCs/>
        </w:rPr>
        <w:t>lo ideal en un proceso de selección es que las aclaraciones y explicaciones se anticipen y soliciten durante la etapa de evaluación, lo más pronto posible, es decir, antes de que la entidad elabore el informe respectivo, de tal manera que las tenga en cuenta para producir ese acto administrativo</w:t>
      </w:r>
      <w:r w:rsidR="00E2629A">
        <w:rPr>
          <w:rFonts w:ascii="Arial" w:hAnsi="Arial" w:cs="Arial"/>
          <w:bCs/>
          <w:i/>
          <w:iCs/>
        </w:rPr>
        <w:t>”</w:t>
      </w:r>
      <w:r w:rsidRPr="0081560D">
        <w:rPr>
          <w:rFonts w:ascii="Arial" w:hAnsi="Arial" w:cs="Arial"/>
          <w:bCs/>
          <w:i/>
          <w:iCs/>
        </w:rPr>
        <w:t>.</w:t>
      </w:r>
      <w:r w:rsidRPr="0081560D">
        <w:rPr>
          <w:rFonts w:ascii="Arial" w:hAnsi="Arial" w:cs="Arial"/>
          <w:bCs/>
          <w:i/>
          <w:iCs/>
          <w:vertAlign w:val="superscript"/>
        </w:rPr>
        <w:footnoteReference w:id="22"/>
      </w:r>
      <w:r w:rsidRPr="0081560D">
        <w:rPr>
          <w:rFonts w:ascii="Arial" w:hAnsi="Arial" w:cs="Arial"/>
          <w:bCs/>
          <w:i/>
          <w:iCs/>
        </w:rPr>
        <w:t xml:space="preserve"> </w:t>
      </w:r>
    </w:p>
    <w:p w14:paraId="6BBB0BB6" w14:textId="50F8F7B5" w:rsidR="00C52F4E" w:rsidRPr="0081560D" w:rsidRDefault="00C52F4E" w:rsidP="00C52F4E">
      <w:pPr>
        <w:tabs>
          <w:tab w:val="left" w:pos="426"/>
        </w:tabs>
        <w:spacing w:after="120" w:line="276" w:lineRule="auto"/>
        <w:jc w:val="both"/>
        <w:rPr>
          <w:rFonts w:ascii="Arial" w:hAnsi="Arial" w:cs="Arial"/>
        </w:rPr>
      </w:pPr>
      <w:r w:rsidRPr="0081560D">
        <w:rPr>
          <w:rFonts w:ascii="Arial" w:eastAsia="Calibri" w:hAnsi="Arial" w:cs="Arial"/>
          <w:b/>
          <w:bCs/>
        </w:rPr>
        <w:tab/>
      </w:r>
      <w:r w:rsidRPr="0081560D">
        <w:rPr>
          <w:rFonts w:ascii="Arial" w:eastAsia="Calibri" w:hAnsi="Arial" w:cs="Arial"/>
          <w:b/>
          <w:bCs/>
        </w:rPr>
        <w:tab/>
      </w:r>
      <w:r w:rsidRPr="0081560D">
        <w:rPr>
          <w:rFonts w:ascii="Arial" w:eastAsia="Calibri" w:hAnsi="Arial" w:cs="Arial"/>
        </w:rPr>
        <w:t xml:space="preserve">De conformidad con lo expuesto y teniendo en cuenta que </w:t>
      </w:r>
      <w:r w:rsidRPr="0081560D">
        <w:rPr>
          <w:rFonts w:ascii="Arial" w:hAnsi="Arial" w:cs="Arial"/>
          <w:i/>
          <w:iCs/>
        </w:rPr>
        <w:t>la Capacidad Residual es un requisito habilitante</w:t>
      </w:r>
      <w:r w:rsidRPr="0081560D">
        <w:rPr>
          <w:rFonts w:ascii="Arial" w:hAnsi="Arial" w:cs="Arial"/>
        </w:rPr>
        <w:t xml:space="preserve"> está sujeta a la posibilidad </w:t>
      </w:r>
      <w:r w:rsidR="00652D38">
        <w:rPr>
          <w:rFonts w:ascii="Arial" w:hAnsi="Arial" w:cs="Arial"/>
        </w:rPr>
        <w:t xml:space="preserve">de solicitarle </w:t>
      </w:r>
      <w:r w:rsidR="00652D38" w:rsidRPr="0081560D">
        <w:rPr>
          <w:rFonts w:ascii="Arial" w:hAnsi="Arial" w:cs="Arial"/>
        </w:rPr>
        <w:t>aclara</w:t>
      </w:r>
      <w:r w:rsidR="00652D38">
        <w:rPr>
          <w:rFonts w:ascii="Arial" w:hAnsi="Arial" w:cs="Arial"/>
        </w:rPr>
        <w:t>ción</w:t>
      </w:r>
      <w:r w:rsidR="00652D38" w:rsidRPr="0081560D">
        <w:rPr>
          <w:rFonts w:ascii="Arial" w:hAnsi="Arial" w:cs="Arial"/>
        </w:rPr>
        <w:t xml:space="preserve">, con el fin de esclarecer dudas sobre aspectos de la información presentada por el proponente </w:t>
      </w:r>
      <w:r w:rsidR="00652D38">
        <w:rPr>
          <w:rFonts w:ascii="Arial" w:hAnsi="Arial" w:cs="Arial"/>
        </w:rPr>
        <w:t xml:space="preserve">y de igual forma, esa sujeta a la posibilidad de </w:t>
      </w:r>
      <w:r w:rsidRPr="0081560D">
        <w:rPr>
          <w:rFonts w:ascii="Arial" w:hAnsi="Arial" w:cs="Arial"/>
        </w:rPr>
        <w:t>subsanar la ausencia de requisitos, siempre que se cumpla con los límites temporales y materiales descritos</w:t>
      </w:r>
      <w:r w:rsidR="00727EA7">
        <w:rPr>
          <w:rFonts w:ascii="Arial" w:hAnsi="Arial" w:cs="Arial"/>
        </w:rPr>
        <w:t>,</w:t>
      </w:r>
      <w:r w:rsidRPr="0081560D">
        <w:rPr>
          <w:rFonts w:ascii="Arial" w:hAnsi="Arial" w:cs="Arial"/>
        </w:rPr>
        <w:t xml:space="preserve"> </w:t>
      </w:r>
      <w:r w:rsidR="00923358">
        <w:rPr>
          <w:rFonts w:ascii="Arial" w:hAnsi="Arial" w:cs="Arial"/>
        </w:rPr>
        <w:t xml:space="preserve">es decir, </w:t>
      </w:r>
      <w:r w:rsidR="00923358" w:rsidRPr="0081560D">
        <w:rPr>
          <w:rFonts w:ascii="Arial" w:hAnsi="Arial" w:cs="Arial"/>
          <w:lang w:val="es-ES_tradnl"/>
        </w:rPr>
        <w:t>que lo omitido no sea un factor que afecte la asignación de puntaje</w:t>
      </w:r>
      <w:r w:rsidR="00923358">
        <w:rPr>
          <w:rFonts w:ascii="Arial" w:hAnsi="Arial" w:cs="Arial"/>
          <w:lang w:val="es-ES_tradnl"/>
        </w:rPr>
        <w:t xml:space="preserve">, </w:t>
      </w:r>
      <w:r w:rsidR="00923358" w:rsidRPr="0081560D">
        <w:rPr>
          <w:rFonts w:ascii="Arial" w:hAnsi="Arial" w:cs="Arial"/>
          <w:lang w:val="es-ES_tradnl"/>
        </w:rPr>
        <w:t>sea la prueba de una circunstancia o hecho que ocurrió con anterioridad al cierre del proceso</w:t>
      </w:r>
      <w:r w:rsidR="00923358">
        <w:rPr>
          <w:rFonts w:ascii="Arial" w:hAnsi="Arial" w:cs="Arial"/>
          <w:lang w:val="es-ES_tradnl"/>
        </w:rPr>
        <w:t xml:space="preserve"> y no existe disposición legal o en el pliego de condiciones que prohíba su subsanación</w:t>
      </w:r>
      <w:r w:rsidRPr="0081560D">
        <w:rPr>
          <w:rFonts w:ascii="Arial" w:hAnsi="Arial" w:cs="Arial"/>
        </w:rPr>
        <w:t xml:space="preserve">. </w:t>
      </w:r>
    </w:p>
    <w:p w14:paraId="152DF71A" w14:textId="214FEE35" w:rsidR="00FE5775" w:rsidRPr="00407259" w:rsidRDefault="00C52F4E" w:rsidP="0082614A">
      <w:pPr>
        <w:tabs>
          <w:tab w:val="left" w:pos="426"/>
        </w:tabs>
        <w:spacing w:line="276" w:lineRule="auto"/>
        <w:jc w:val="both"/>
        <w:rPr>
          <w:rFonts w:ascii="Arial" w:hAnsi="Arial" w:cs="Arial"/>
          <w:b/>
          <w:bCs/>
          <w:szCs w:val="20"/>
        </w:rPr>
      </w:pPr>
      <w:r w:rsidRPr="0081560D">
        <w:rPr>
          <w:rFonts w:ascii="Arial" w:hAnsi="Arial" w:cs="Arial"/>
        </w:rPr>
        <w:tab/>
      </w:r>
      <w:r w:rsidRPr="0081560D">
        <w:rPr>
          <w:rFonts w:ascii="Arial" w:hAnsi="Arial" w:cs="Arial"/>
        </w:rPr>
        <w:tab/>
      </w:r>
      <w:r w:rsidR="00013624">
        <w:rPr>
          <w:rFonts w:ascii="Arial" w:eastAsia="Calibri" w:hAnsi="Arial" w:cs="Arial"/>
          <w:b/>
          <w:bCs/>
          <w:color w:val="000000"/>
          <w:lang w:eastAsia="en-GB"/>
        </w:rPr>
        <w:t xml:space="preserve">2.4. </w:t>
      </w:r>
      <w:r w:rsidR="00FE5775" w:rsidRPr="00407259">
        <w:rPr>
          <w:rFonts w:ascii="Arial" w:eastAsia="Calibri" w:hAnsi="Arial" w:cs="Arial"/>
          <w:b/>
          <w:bCs/>
          <w:color w:val="000000"/>
          <w:lang w:eastAsia="en-GB"/>
        </w:rPr>
        <w:t>La capacidad residual y su relación con las causales de rechazo de la oferta en los documentos tipo de</w:t>
      </w:r>
      <w:r w:rsidR="00FE5775" w:rsidRPr="00407259">
        <w:rPr>
          <w:rFonts w:ascii="Arial" w:eastAsia="Calibri" w:hAnsi="Arial" w:cs="Arial"/>
          <w:color w:val="000000" w:themeColor="text1"/>
        </w:rPr>
        <w:t xml:space="preserve"> </w:t>
      </w:r>
      <w:r w:rsidR="00FE5775" w:rsidRPr="00407259">
        <w:rPr>
          <w:rFonts w:ascii="Arial" w:eastAsia="Calibri" w:hAnsi="Arial" w:cs="Arial"/>
          <w:b/>
          <w:bCs/>
          <w:color w:val="000000"/>
          <w:lang w:eastAsia="en-GB"/>
        </w:rPr>
        <w:t>licitación de obra pública de infraestructura de transporte – versión 3</w:t>
      </w:r>
    </w:p>
    <w:p w14:paraId="43E82BFD" w14:textId="77777777" w:rsidR="00FE5775" w:rsidRPr="00407259" w:rsidRDefault="00FE5775" w:rsidP="00FE5775">
      <w:pPr>
        <w:tabs>
          <w:tab w:val="left" w:pos="426"/>
        </w:tabs>
        <w:spacing w:after="0" w:line="276" w:lineRule="auto"/>
        <w:jc w:val="both"/>
        <w:rPr>
          <w:rFonts w:ascii="Arial" w:hAnsi="Arial" w:cs="Arial"/>
          <w:szCs w:val="20"/>
        </w:rPr>
      </w:pPr>
      <w:r w:rsidRPr="00407259">
        <w:rPr>
          <w:rFonts w:ascii="Arial" w:hAnsi="Arial" w:cs="Arial"/>
          <w:szCs w:val="20"/>
        </w:rPr>
        <w:t xml:space="preserve">El numeral 3.10 del documento base de obra de infraestructura de transporte para procesos de licitación pública – Versión 3–, establece como requisito habilitante la capacidad residual. En este documento tipo, al menos tres causales de rechazo del numeral 1.15 se relacionan con la </w:t>
      </w:r>
      <w:r w:rsidRPr="00407259">
        <w:rPr>
          <w:rFonts w:ascii="Arial" w:hAnsi="Arial" w:cs="Arial"/>
          <w:szCs w:val="20"/>
        </w:rPr>
        <w:lastRenderedPageBreak/>
        <w:t>capacidad residual como requisito habilitante, esto es, los literales E, H y Z. Estas causales disponen lo siguiente:</w:t>
      </w:r>
    </w:p>
    <w:p w14:paraId="3CEC594F" w14:textId="77777777" w:rsidR="00FE5775" w:rsidRPr="00407259" w:rsidRDefault="00FE5775" w:rsidP="00FE5775">
      <w:pPr>
        <w:spacing w:after="0"/>
        <w:ind w:left="709" w:right="709"/>
        <w:jc w:val="both"/>
        <w:rPr>
          <w:rFonts w:ascii="Arial" w:hAnsi="Arial" w:cs="Arial"/>
          <w:b/>
          <w:bCs/>
          <w:sz w:val="21"/>
          <w:szCs w:val="21"/>
        </w:rPr>
      </w:pPr>
    </w:p>
    <w:p w14:paraId="522B01B7" w14:textId="77777777" w:rsidR="00FE5775" w:rsidRPr="00407259" w:rsidRDefault="00FE5775" w:rsidP="00FE5775">
      <w:pPr>
        <w:spacing w:line="240" w:lineRule="auto"/>
        <w:ind w:left="709" w:right="709"/>
        <w:jc w:val="both"/>
        <w:rPr>
          <w:rFonts w:ascii="Arial" w:hAnsi="Arial" w:cs="Arial"/>
          <w:b/>
          <w:bCs/>
          <w:sz w:val="21"/>
          <w:szCs w:val="21"/>
          <w:lang w:val="es-MX"/>
        </w:rPr>
      </w:pPr>
      <w:r>
        <w:rPr>
          <w:rFonts w:ascii="Arial" w:hAnsi="Arial" w:cs="Arial"/>
          <w:b/>
          <w:bCs/>
          <w:sz w:val="21"/>
          <w:szCs w:val="21"/>
          <w:lang w:val="es-MX"/>
        </w:rPr>
        <w:t>“</w:t>
      </w:r>
      <w:r w:rsidRPr="00407259">
        <w:rPr>
          <w:rFonts w:ascii="Arial" w:hAnsi="Arial" w:cs="Arial"/>
          <w:b/>
          <w:bCs/>
          <w:sz w:val="21"/>
          <w:szCs w:val="21"/>
          <w:lang w:val="es-MX"/>
        </w:rPr>
        <w:t>1.15.</w:t>
      </w:r>
      <w:r w:rsidRPr="00407259">
        <w:rPr>
          <w:rFonts w:ascii="Arial" w:hAnsi="Arial" w:cs="Arial"/>
          <w:b/>
          <w:bCs/>
          <w:sz w:val="21"/>
          <w:szCs w:val="21"/>
          <w:lang w:val="es-MX"/>
        </w:rPr>
        <w:tab/>
        <w:t xml:space="preserve">CAUSALES DE RECHAZO </w:t>
      </w:r>
    </w:p>
    <w:p w14:paraId="56EDB766" w14:textId="77777777" w:rsidR="00FE5775" w:rsidRPr="00407259" w:rsidRDefault="00FE5775" w:rsidP="00FE5775">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t>Son causales de rechazo las siguientes [Las Entidades no podrán modificar o incluir causales de rechazo distintas a las señaladas en la presente sección]:</w:t>
      </w:r>
    </w:p>
    <w:p w14:paraId="78A1AFCC" w14:textId="77777777" w:rsidR="00FE5775" w:rsidRPr="00407259" w:rsidRDefault="00FE5775" w:rsidP="00FE5775">
      <w:pPr>
        <w:spacing w:after="120"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6DE22CF4" w14:textId="77777777" w:rsidR="00FE5775" w:rsidRPr="00407259" w:rsidRDefault="00FE5775" w:rsidP="00FE5775">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t>E. Que el Proponente no aclare, subsane o aporte documentos necesarios para el cumplimiento de un requisito habilitante en los términos establecidos en la sección 1.6.</w:t>
      </w:r>
    </w:p>
    <w:p w14:paraId="18E3729F" w14:textId="77777777" w:rsidR="00FE5775" w:rsidRPr="00407259" w:rsidRDefault="00FE5775" w:rsidP="00FE5775">
      <w:pPr>
        <w:spacing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68B0F97A" w14:textId="77777777" w:rsidR="00FE5775" w:rsidRPr="00407259" w:rsidRDefault="00FE5775" w:rsidP="00FE5775">
      <w:pPr>
        <w:spacing w:before="120" w:line="240" w:lineRule="auto"/>
        <w:ind w:left="709" w:right="709"/>
        <w:jc w:val="both"/>
        <w:rPr>
          <w:rFonts w:ascii="Arial" w:hAnsi="Arial" w:cs="Arial"/>
          <w:sz w:val="21"/>
          <w:szCs w:val="21"/>
          <w:lang w:val="es-MX"/>
        </w:rPr>
      </w:pPr>
      <w:r w:rsidRPr="00407259">
        <w:rPr>
          <w:rFonts w:ascii="Arial" w:hAnsi="Arial" w:cs="Arial"/>
          <w:sz w:val="21"/>
          <w:szCs w:val="21"/>
          <w:lang w:val="es-MX"/>
        </w:rPr>
        <w:t>H. Que el Proponente aporte información inexacta sobre la cual pueda existir una posible falsedad en los términos de la sección 1.11.</w:t>
      </w:r>
    </w:p>
    <w:p w14:paraId="685FB49B" w14:textId="77777777" w:rsidR="00FE5775" w:rsidRPr="00407259" w:rsidRDefault="00FE5775" w:rsidP="00FE5775">
      <w:pPr>
        <w:spacing w:after="120" w:line="240" w:lineRule="auto"/>
        <w:ind w:left="709" w:right="709"/>
        <w:jc w:val="both"/>
        <w:rPr>
          <w:rFonts w:ascii="Arial" w:hAnsi="Arial" w:cs="Arial"/>
          <w:sz w:val="21"/>
          <w:szCs w:val="21"/>
          <w:lang w:val="es-MX"/>
        </w:rPr>
      </w:pPr>
      <w:r w:rsidRPr="00407259">
        <w:rPr>
          <w:rFonts w:ascii="Arial" w:hAnsi="Arial" w:cs="Arial"/>
          <w:sz w:val="21"/>
          <w:szCs w:val="21"/>
          <w:lang w:val="es-MX"/>
        </w:rPr>
        <w:t>[…]</w:t>
      </w:r>
    </w:p>
    <w:p w14:paraId="3AA07EBE" w14:textId="77777777" w:rsidR="00FE5775" w:rsidRPr="00407259" w:rsidRDefault="00FE5775" w:rsidP="00FE5775">
      <w:pPr>
        <w:spacing w:after="0" w:line="240" w:lineRule="auto"/>
        <w:ind w:left="709" w:right="709"/>
        <w:jc w:val="both"/>
        <w:rPr>
          <w:rFonts w:ascii="Arial" w:hAnsi="Arial" w:cs="Arial"/>
          <w:sz w:val="21"/>
          <w:szCs w:val="21"/>
          <w:lang w:val="es-MX"/>
        </w:rPr>
      </w:pPr>
      <w:r w:rsidRPr="00407259">
        <w:rPr>
          <w:rFonts w:ascii="Arial" w:hAnsi="Arial" w:cs="Arial"/>
          <w:sz w:val="21"/>
          <w:szCs w:val="21"/>
          <w:lang w:val="es-MX"/>
        </w:rPr>
        <w:t xml:space="preserve">Z. </w:t>
      </w:r>
      <w:bookmarkStart w:id="7" w:name="_Hlk78878480"/>
      <w:r w:rsidRPr="00407259">
        <w:rPr>
          <w:rFonts w:ascii="Arial" w:hAnsi="Arial" w:cs="Arial"/>
          <w:sz w:val="21"/>
          <w:szCs w:val="21"/>
          <w:lang w:val="es-MX"/>
        </w:rPr>
        <w:t>No informar todos los contratos que el Proponente tenga en ejecución antes del cierre, necesarios para acreditar su capacidad residual conforme a la sección 3.10</w:t>
      </w:r>
      <w:r>
        <w:rPr>
          <w:rFonts w:ascii="Arial" w:hAnsi="Arial" w:cs="Arial"/>
          <w:sz w:val="21"/>
          <w:szCs w:val="21"/>
          <w:lang w:val="es-MX"/>
        </w:rPr>
        <w:t>”</w:t>
      </w:r>
      <w:r w:rsidRPr="00407259">
        <w:rPr>
          <w:rFonts w:ascii="Arial" w:hAnsi="Arial" w:cs="Arial"/>
          <w:sz w:val="21"/>
          <w:szCs w:val="21"/>
          <w:lang w:val="es-MX"/>
        </w:rPr>
        <w:t>.</w:t>
      </w:r>
    </w:p>
    <w:bookmarkEnd w:id="7"/>
    <w:p w14:paraId="3A2B1019" w14:textId="77777777" w:rsidR="00FE5775" w:rsidRPr="00407259" w:rsidRDefault="00FE5775" w:rsidP="00FE5775">
      <w:pPr>
        <w:spacing w:after="0"/>
        <w:ind w:left="709" w:right="709"/>
        <w:jc w:val="both"/>
        <w:rPr>
          <w:rFonts w:ascii="Arial" w:hAnsi="Arial" w:cs="Arial"/>
          <w:szCs w:val="20"/>
          <w:lang w:val="es-MX"/>
        </w:rPr>
      </w:pPr>
    </w:p>
    <w:p w14:paraId="21155717" w14:textId="77777777" w:rsidR="00FE5775" w:rsidRPr="00407259" w:rsidRDefault="00FE5775" w:rsidP="00FE5775">
      <w:pPr>
        <w:spacing w:after="120" w:line="276" w:lineRule="auto"/>
        <w:ind w:firstLine="709"/>
        <w:jc w:val="both"/>
        <w:rPr>
          <w:rFonts w:ascii="Arial" w:hAnsi="Arial" w:cs="Arial"/>
          <w:szCs w:val="20"/>
          <w:lang w:val="es-MX"/>
        </w:rPr>
      </w:pPr>
      <w:bookmarkStart w:id="8" w:name="_Hlk91596805"/>
      <w:r w:rsidRPr="00407259">
        <w:rPr>
          <w:rFonts w:ascii="Arial" w:hAnsi="Arial" w:cs="Arial"/>
          <w:szCs w:val="20"/>
          <w:lang w:val="es-MX"/>
        </w:rPr>
        <w:t>Como se consideró en los conceptos del 25 de septiembre y el 23 de diciembre de 2019 −radicados Nos. 2201913000007117 y 2201913000009538−, las causales de rechazo de ofertas contempladas en los documentos tipo son taxativas, descartándose que la entidad introduzca otras,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bookmarkEnd w:id="8"/>
    <w:p w14:paraId="4ABAD62F" w14:textId="247AD7F6" w:rsidR="00FE5775" w:rsidRPr="00407259" w:rsidRDefault="00FE5775" w:rsidP="00FE5775">
      <w:pPr>
        <w:spacing w:before="120" w:after="120" w:line="276" w:lineRule="auto"/>
        <w:ind w:firstLine="709"/>
        <w:jc w:val="both"/>
        <w:rPr>
          <w:rFonts w:ascii="Arial" w:hAnsi="Arial" w:cs="Arial"/>
          <w:i/>
          <w:iCs/>
          <w:lang w:val="es-MX"/>
        </w:rPr>
      </w:pPr>
      <w:r w:rsidRPr="00407259">
        <w:rPr>
          <w:rFonts w:ascii="Arial" w:hAnsi="Arial" w:cs="Arial"/>
          <w:i/>
          <w:szCs w:val="20"/>
          <w:lang w:val="es-MX"/>
        </w:rPr>
        <w:t>i)</w:t>
      </w:r>
      <w:r w:rsidRPr="00407259">
        <w:rPr>
          <w:rFonts w:ascii="Arial" w:hAnsi="Arial" w:cs="Arial"/>
          <w:szCs w:val="20"/>
          <w:lang w:val="es-MX"/>
        </w:rPr>
        <w:t xml:space="preserve"> La causal del </w:t>
      </w:r>
      <w:r w:rsidRPr="00407259">
        <w:rPr>
          <w:rFonts w:ascii="Arial" w:hAnsi="Arial" w:cs="Arial"/>
          <w:i/>
          <w:iCs/>
          <w:szCs w:val="20"/>
          <w:lang w:val="es-MX"/>
        </w:rPr>
        <w:t>literal Z</w:t>
      </w:r>
      <w:r w:rsidRPr="00407259">
        <w:rPr>
          <w:rFonts w:ascii="Arial" w:hAnsi="Arial" w:cs="Arial"/>
          <w:szCs w:val="20"/>
          <w:lang w:val="es-MX"/>
        </w:rPr>
        <w:t xml:space="preserve"> del numeral 1.15 solamente aplica cuando el proponente no informa todos los contratos que tiene en ejecución antes del cierre. Esto se traduce en un 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w:t>
      </w:r>
      <w:r w:rsidR="00E2629A">
        <w:rPr>
          <w:rFonts w:ascii="Arial" w:hAnsi="Arial" w:cs="Arial"/>
          <w:szCs w:val="20"/>
          <w:lang w:val="es-MX"/>
        </w:rPr>
        <w:t>en el contenido de</w:t>
      </w:r>
      <w:r w:rsidRPr="00407259">
        <w:rPr>
          <w:rFonts w:ascii="Arial" w:hAnsi="Arial" w:cs="Arial"/>
          <w:szCs w:val="20"/>
          <w:lang w:val="es-MX"/>
        </w:rPr>
        <w:t xml:space="preserve"> la información de los contratos, siempre que los reporte todos. Por tanto, la </w:t>
      </w:r>
      <w:r w:rsidRPr="00407259">
        <w:rPr>
          <w:rFonts w:ascii="Arial" w:hAnsi="Arial" w:cs="Arial"/>
          <w:lang w:val="es-MX"/>
        </w:rPr>
        <w:t xml:space="preserve">configuración de la causal de rechazo del literal Z es objetiva, pues solo aplica ante la omisión del proponente de informar </w:t>
      </w:r>
      <w:r w:rsidR="00E2629A">
        <w:rPr>
          <w:rFonts w:ascii="Arial" w:hAnsi="Arial" w:cs="Arial"/>
          <w:lang w:val="es-MX"/>
        </w:rPr>
        <w:t>todos los</w:t>
      </w:r>
      <w:r w:rsidRPr="00407259">
        <w:rPr>
          <w:rFonts w:ascii="Arial" w:hAnsi="Arial" w:cs="Arial"/>
          <w:lang w:val="es-MX"/>
        </w:rPr>
        <w:t xml:space="preserve">  contratos en ejecución antes del cierre</w:t>
      </w:r>
      <w:r w:rsidR="00304F35">
        <w:rPr>
          <w:rFonts w:ascii="Arial" w:hAnsi="Arial" w:cs="Arial"/>
          <w:lang w:val="es-MX"/>
        </w:rPr>
        <w:t xml:space="preserve"> del proceso</w:t>
      </w:r>
      <w:r w:rsidR="00E2629A">
        <w:rPr>
          <w:rFonts w:ascii="Arial" w:hAnsi="Arial" w:cs="Arial"/>
          <w:szCs w:val="20"/>
          <w:lang w:val="es-MX"/>
        </w:rPr>
        <w:t>, es decir</w:t>
      </w:r>
      <w:r w:rsidR="00304F35">
        <w:rPr>
          <w:rFonts w:ascii="Arial" w:hAnsi="Arial" w:cs="Arial"/>
          <w:szCs w:val="20"/>
          <w:lang w:val="es-MX"/>
        </w:rPr>
        <w:t>,</w:t>
      </w:r>
      <w:r w:rsidR="00E2629A">
        <w:rPr>
          <w:rFonts w:ascii="Arial" w:hAnsi="Arial" w:cs="Arial"/>
          <w:szCs w:val="20"/>
          <w:lang w:val="es-MX"/>
        </w:rPr>
        <w:t xml:space="preserve"> opera también cuando no se aporte </w:t>
      </w:r>
      <w:r w:rsidR="00304F35">
        <w:rPr>
          <w:rFonts w:ascii="Arial" w:hAnsi="Arial" w:cs="Arial"/>
          <w:szCs w:val="20"/>
          <w:lang w:val="es-MX"/>
        </w:rPr>
        <w:t xml:space="preserve">con la oferta </w:t>
      </w:r>
      <w:r w:rsidR="00E2629A">
        <w:rPr>
          <w:rFonts w:ascii="Arial" w:hAnsi="Arial" w:cs="Arial"/>
          <w:szCs w:val="20"/>
          <w:lang w:val="es-MX"/>
        </w:rPr>
        <w:t>el Formato 5</w:t>
      </w:r>
      <w:r w:rsidR="005524E6">
        <w:rPr>
          <w:rFonts w:ascii="Arial" w:hAnsi="Arial" w:cs="Arial"/>
          <w:szCs w:val="20"/>
          <w:lang w:val="es-MX"/>
        </w:rPr>
        <w:t>, sólo si, con ello se está omitiendo informar con</w:t>
      </w:r>
      <w:r w:rsidR="00304F35">
        <w:rPr>
          <w:rFonts w:ascii="Arial" w:hAnsi="Arial" w:cs="Arial"/>
          <w:szCs w:val="20"/>
          <w:lang w:val="es-MX"/>
        </w:rPr>
        <w:t xml:space="preserve">tratos </w:t>
      </w:r>
      <w:r w:rsidR="005524E6">
        <w:rPr>
          <w:rFonts w:ascii="Arial" w:hAnsi="Arial" w:cs="Arial"/>
          <w:szCs w:val="20"/>
          <w:lang w:val="es-MX"/>
        </w:rPr>
        <w:t xml:space="preserve">que tenga </w:t>
      </w:r>
      <w:r w:rsidR="00304F35">
        <w:rPr>
          <w:rFonts w:ascii="Arial" w:hAnsi="Arial" w:cs="Arial"/>
          <w:szCs w:val="20"/>
          <w:lang w:val="es-MX"/>
        </w:rPr>
        <w:t>en ejecución</w:t>
      </w:r>
      <w:r w:rsidR="005524E6">
        <w:rPr>
          <w:rFonts w:ascii="Arial" w:hAnsi="Arial" w:cs="Arial"/>
          <w:szCs w:val="20"/>
          <w:lang w:val="es-MX"/>
        </w:rPr>
        <w:t xml:space="preserve"> el proponente.</w:t>
      </w:r>
    </w:p>
    <w:p w14:paraId="7CB7B831" w14:textId="77777777" w:rsidR="00FE5775" w:rsidRPr="00407259" w:rsidRDefault="00FE5775" w:rsidP="00FE5775">
      <w:pPr>
        <w:spacing w:before="120" w:line="276" w:lineRule="auto"/>
        <w:ind w:firstLine="708"/>
        <w:jc w:val="both"/>
        <w:rPr>
          <w:rFonts w:ascii="Arial" w:hAnsi="Arial" w:cs="Arial"/>
          <w:szCs w:val="20"/>
          <w:lang w:val="es-MX"/>
        </w:rPr>
      </w:pPr>
      <w:bookmarkStart w:id="9" w:name="_Hlk91596835"/>
      <w:r w:rsidRPr="00407259">
        <w:rPr>
          <w:rFonts w:ascii="Arial" w:hAnsi="Arial" w:cs="Arial"/>
          <w:i/>
          <w:szCs w:val="20"/>
          <w:lang w:val="es-MX"/>
        </w:rPr>
        <w:t xml:space="preserve">ii) </w:t>
      </w:r>
      <w:r w:rsidRPr="00407259">
        <w:rPr>
          <w:rFonts w:ascii="Arial" w:hAnsi="Arial" w:cs="Arial"/>
          <w:szCs w:val="20"/>
          <w:lang w:val="es-MX"/>
        </w:rPr>
        <w:t xml:space="preserve">Lo anterior, sin perjuicio de que para el proponente tenga consecuencias omitir o errar en la información específica de cada contrato –esto es, la cuantía o el plazo, entre otros–, pues </w:t>
      </w:r>
      <w:r w:rsidRPr="00407259">
        <w:rPr>
          <w:rFonts w:ascii="Arial" w:hAnsi="Arial" w:cs="Arial"/>
          <w:szCs w:val="20"/>
          <w:lang w:val="es-MX"/>
        </w:rPr>
        <w:lastRenderedPageBreak/>
        <w:t xml:space="preserve">la entidad podrá requerirlo para que aclare la información y, en caso de no responder, rechazar la propuesta por la causal que consagra el </w:t>
      </w:r>
      <w:r w:rsidRPr="00407259">
        <w:rPr>
          <w:rFonts w:ascii="Arial" w:hAnsi="Arial" w:cs="Arial"/>
          <w:i/>
          <w:iCs/>
          <w:szCs w:val="20"/>
          <w:lang w:val="es-MX"/>
        </w:rPr>
        <w:t>literal E</w:t>
      </w:r>
      <w:r w:rsidRPr="00407259">
        <w:rPr>
          <w:rFonts w:ascii="Arial" w:hAnsi="Arial" w:cs="Arial"/>
          <w:szCs w:val="20"/>
          <w:lang w:val="es-MX"/>
        </w:rPr>
        <w:t xml:space="preserve"> del numeral 1.15.</w:t>
      </w:r>
      <w:bookmarkEnd w:id="9"/>
      <w:r w:rsidRPr="00407259">
        <w:rPr>
          <w:rFonts w:ascii="Arial" w:hAnsi="Arial" w:cs="Arial"/>
          <w:szCs w:val="20"/>
          <w:lang w:val="es-MX"/>
        </w:rPr>
        <w:t xml:space="preserve"> </w:t>
      </w:r>
    </w:p>
    <w:p w14:paraId="2F2217F4" w14:textId="77777777" w:rsidR="00FE5775" w:rsidRPr="00407259" w:rsidRDefault="00FE5775" w:rsidP="00FE5775">
      <w:pPr>
        <w:spacing w:before="120" w:after="0" w:line="276" w:lineRule="auto"/>
        <w:ind w:firstLine="708"/>
        <w:jc w:val="both"/>
        <w:rPr>
          <w:rFonts w:ascii="Arial" w:hAnsi="Arial" w:cs="Arial"/>
          <w:szCs w:val="20"/>
          <w:lang w:val="es-MX"/>
        </w:rPr>
      </w:pPr>
      <w:r w:rsidRPr="00407259">
        <w:rPr>
          <w:rFonts w:ascii="Arial" w:hAnsi="Arial" w:cs="Arial"/>
          <w:i/>
          <w:szCs w:val="20"/>
          <w:lang w:val="es-MX"/>
        </w:rPr>
        <w:t xml:space="preserve">iii) </w:t>
      </w:r>
      <w:r w:rsidRPr="00407259">
        <w:rPr>
          <w:rFonts w:ascii="Arial" w:hAnsi="Arial" w:cs="Arial"/>
          <w:szCs w:val="20"/>
          <w:lang w:val="es-MX"/>
        </w:rPr>
        <w:t xml:space="preserve">Lo dicho en los numerales precedentes tampoco descarta la posibilidad de que la entidad rechace la oferta si encuentra configurada la causal establecida en </w:t>
      </w:r>
      <w:bookmarkStart w:id="10" w:name="_Hlk81383775"/>
      <w:r w:rsidRPr="00407259">
        <w:rPr>
          <w:rFonts w:ascii="Arial" w:hAnsi="Arial" w:cs="Arial"/>
          <w:szCs w:val="20"/>
          <w:lang w:val="es-MX"/>
        </w:rPr>
        <w:t xml:space="preserve">el </w:t>
      </w:r>
      <w:r w:rsidRPr="00407259">
        <w:rPr>
          <w:rFonts w:ascii="Arial" w:hAnsi="Arial" w:cs="Arial"/>
          <w:i/>
          <w:iCs/>
          <w:szCs w:val="20"/>
          <w:lang w:val="es-MX"/>
        </w:rPr>
        <w:t>literal H</w:t>
      </w:r>
      <w:r w:rsidRPr="00407259">
        <w:rPr>
          <w:rFonts w:ascii="Arial" w:hAnsi="Arial" w:cs="Arial"/>
          <w:szCs w:val="20"/>
          <w:lang w:val="es-MX"/>
        </w:rPr>
        <w:t xml:space="preserve"> del numeral 1.15, que aplica cuando el proponente aporta información inexacta, de acuerdo con lo señalado en el numeral 1.11. del documento base</w:t>
      </w:r>
      <w:bookmarkEnd w:id="10"/>
      <w:r w:rsidRPr="00407259">
        <w:rPr>
          <w:rFonts w:ascii="Arial" w:hAnsi="Arial" w:cs="Arial"/>
          <w:szCs w:val="20"/>
          <w:lang w:val="es-MX"/>
        </w:rPr>
        <w:t xml:space="preserve">: </w:t>
      </w:r>
    </w:p>
    <w:p w14:paraId="49FDB1B3" w14:textId="77777777" w:rsidR="00FE5775" w:rsidRPr="00407259" w:rsidRDefault="00FE5775" w:rsidP="00FE5775">
      <w:pPr>
        <w:spacing w:after="0" w:line="276" w:lineRule="auto"/>
        <w:jc w:val="both"/>
        <w:rPr>
          <w:rFonts w:ascii="Arial" w:hAnsi="Arial" w:cs="Arial"/>
          <w:lang w:val="es-MX"/>
        </w:rPr>
      </w:pPr>
    </w:p>
    <w:p w14:paraId="2496F380" w14:textId="77777777" w:rsidR="00FE5775" w:rsidRPr="00407259" w:rsidRDefault="00FE5775" w:rsidP="00FE5775">
      <w:pPr>
        <w:spacing w:after="120" w:line="240" w:lineRule="auto"/>
        <w:ind w:left="709" w:right="709"/>
        <w:jc w:val="both"/>
        <w:rPr>
          <w:rFonts w:ascii="Arial" w:hAnsi="Arial" w:cs="Arial"/>
          <w:b/>
          <w:bCs/>
          <w:sz w:val="21"/>
          <w:szCs w:val="21"/>
        </w:rPr>
      </w:pPr>
      <w:r>
        <w:rPr>
          <w:rFonts w:ascii="Arial" w:hAnsi="Arial" w:cs="Arial"/>
          <w:b/>
          <w:bCs/>
          <w:sz w:val="21"/>
          <w:szCs w:val="21"/>
        </w:rPr>
        <w:t>“</w:t>
      </w:r>
      <w:r w:rsidRPr="00407259">
        <w:rPr>
          <w:rFonts w:ascii="Arial" w:hAnsi="Arial" w:cs="Arial"/>
          <w:b/>
          <w:bCs/>
          <w:sz w:val="21"/>
          <w:szCs w:val="21"/>
        </w:rPr>
        <w:t xml:space="preserve">1.11 INFORMACIÓN INEXACTA </w:t>
      </w:r>
    </w:p>
    <w:p w14:paraId="4E083650" w14:textId="77777777" w:rsidR="00FE5775" w:rsidRPr="00407259" w:rsidRDefault="00FE5775" w:rsidP="00FE5775">
      <w:pPr>
        <w:spacing w:after="120" w:line="240" w:lineRule="auto"/>
        <w:ind w:left="709" w:right="709"/>
        <w:jc w:val="both"/>
        <w:rPr>
          <w:rFonts w:ascii="Arial" w:hAnsi="Arial" w:cs="Arial"/>
          <w:sz w:val="21"/>
          <w:szCs w:val="21"/>
        </w:rPr>
      </w:pPr>
      <w:r w:rsidRPr="00407259">
        <w:rPr>
          <w:rFonts w:ascii="Arial" w:hAnsi="Arial" w:cs="Arial"/>
          <w:sz w:val="21"/>
          <w:szCs w:val="21"/>
        </w:rPr>
        <w:t xml:space="preserve">La Entidad </w:t>
      </w:r>
      <w:bookmarkStart w:id="11" w:name="_Hlk88664526"/>
      <w:r w:rsidRPr="00407259">
        <w:rPr>
          <w:rFonts w:ascii="Arial" w:hAnsi="Arial" w:cs="Arial"/>
          <w:sz w:val="21"/>
          <w:szCs w:val="21"/>
        </w:rPr>
        <w:t>se reserva el derecho de verificar integralmente la información aportada por el Proponente</w:t>
      </w:r>
      <w:bookmarkEnd w:id="11"/>
      <w:r w:rsidRPr="00407259">
        <w:rPr>
          <w:rFonts w:ascii="Arial" w:hAnsi="Arial" w:cs="Arial"/>
          <w:sz w:val="21"/>
          <w:szCs w:val="21"/>
        </w:rPr>
        <w:t xml:space="preserve">. Para esto, puede acudir a las autoridades, personas, empresas o entidades respectivas. </w:t>
      </w:r>
    </w:p>
    <w:p w14:paraId="2C187979" w14:textId="77777777" w:rsidR="00FE5775" w:rsidRPr="00407259" w:rsidRDefault="00FE5775" w:rsidP="00FE5775">
      <w:pPr>
        <w:spacing w:after="120" w:line="240" w:lineRule="auto"/>
        <w:ind w:left="709" w:right="709"/>
        <w:jc w:val="both"/>
        <w:rPr>
          <w:rFonts w:ascii="Arial" w:hAnsi="Arial" w:cs="Arial"/>
          <w:sz w:val="21"/>
          <w:szCs w:val="21"/>
        </w:rPr>
      </w:pPr>
      <w:r w:rsidRPr="00407259">
        <w:rPr>
          <w:rFonts w:ascii="Arial" w:hAnsi="Arial" w:cs="Arial"/>
          <w:sz w:val="21"/>
          <w:szCs w:val="21"/>
        </w:rPr>
        <w:t xml:space="preserve">Cuando exista inconsistencia entre la información suministrada por el Proponente y la efectivamente verificada por la Entidad, la información que pretende demostrar el Proponente se tendrá por no acreditada. </w:t>
      </w:r>
    </w:p>
    <w:p w14:paraId="41F8EBB3" w14:textId="77777777" w:rsidR="00FE5775" w:rsidRPr="00407259" w:rsidRDefault="00FE5775" w:rsidP="00FE5775">
      <w:pPr>
        <w:spacing w:after="0" w:line="240" w:lineRule="auto"/>
        <w:ind w:left="709" w:right="709"/>
        <w:jc w:val="both"/>
        <w:rPr>
          <w:rFonts w:ascii="Arial" w:hAnsi="Arial" w:cs="Arial"/>
          <w:sz w:val="21"/>
          <w:szCs w:val="21"/>
        </w:rPr>
      </w:pPr>
      <w:r w:rsidRPr="00407259">
        <w:rPr>
          <w:rFonts w:ascii="Arial" w:hAnsi="Arial" w:cs="Arial"/>
          <w:sz w:val="21"/>
          <w:szCs w:val="21"/>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05771C94" w14:textId="77777777" w:rsidR="00FE5775" w:rsidRPr="00407259" w:rsidRDefault="00FE5775" w:rsidP="00FE5775">
      <w:pPr>
        <w:spacing w:after="0" w:line="240" w:lineRule="auto"/>
        <w:ind w:left="709" w:right="709"/>
        <w:jc w:val="both"/>
        <w:rPr>
          <w:rFonts w:ascii="Arial" w:hAnsi="Arial" w:cs="Arial"/>
          <w:sz w:val="21"/>
          <w:szCs w:val="21"/>
        </w:rPr>
      </w:pPr>
      <w:r w:rsidRPr="00407259">
        <w:rPr>
          <w:rFonts w:ascii="Arial" w:hAnsi="Arial" w:cs="Arial"/>
          <w:sz w:val="21"/>
          <w:szCs w:val="21"/>
        </w:rPr>
        <w:t>[…]</w:t>
      </w:r>
      <w:r>
        <w:rPr>
          <w:rFonts w:ascii="Arial" w:hAnsi="Arial" w:cs="Arial"/>
          <w:sz w:val="21"/>
          <w:szCs w:val="21"/>
        </w:rPr>
        <w:t>”</w:t>
      </w:r>
    </w:p>
    <w:p w14:paraId="4590187B" w14:textId="77777777" w:rsidR="00FE5775" w:rsidRPr="00407259" w:rsidRDefault="00FE5775" w:rsidP="00FE5775">
      <w:pPr>
        <w:spacing w:after="0" w:line="276" w:lineRule="auto"/>
        <w:jc w:val="both"/>
        <w:rPr>
          <w:rFonts w:ascii="Arial" w:hAnsi="Arial" w:cs="Arial"/>
        </w:rPr>
      </w:pPr>
    </w:p>
    <w:p w14:paraId="440801CC" w14:textId="77777777" w:rsidR="00FE5775" w:rsidRPr="00407259" w:rsidRDefault="00FE5775" w:rsidP="00FE5775">
      <w:pPr>
        <w:spacing w:after="120" w:line="276" w:lineRule="auto"/>
        <w:ind w:firstLine="709"/>
        <w:jc w:val="both"/>
        <w:rPr>
          <w:rFonts w:ascii="Arial" w:hAnsi="Arial" w:cs="Arial"/>
        </w:rPr>
      </w:pPr>
      <w:r w:rsidRPr="00407259">
        <w:rPr>
          <w:rFonts w:ascii="Arial" w:hAnsi="Arial" w:cs="Arial"/>
        </w:rPr>
        <w:t>Este numeral faculta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407259">
        <w:rPr>
          <w:rFonts w:ascii="Arial" w:hAnsi="Arial" w:cs="Arial"/>
          <w:vertAlign w:val="superscript"/>
        </w:rPr>
        <w:footnoteReference w:id="23"/>
      </w:r>
      <w:r w:rsidRPr="00407259">
        <w:rPr>
          <w:rFonts w:ascii="Arial" w:hAnsi="Arial" w:cs="Arial"/>
        </w:rPr>
        <w:t>. Conforme a ello, la prerrogativa de verificación es una herramienta para que la Administración adquiera certeza frente al cumplimiento de los requisitos del procedimiento de selección y del comportamiento leal que se exige de los proponentes.</w:t>
      </w:r>
    </w:p>
    <w:p w14:paraId="0239C428" w14:textId="77777777" w:rsidR="00FE5775" w:rsidRPr="00407259" w:rsidRDefault="00FE5775" w:rsidP="00FE5775">
      <w:pPr>
        <w:spacing w:before="120" w:after="120" w:line="276" w:lineRule="auto"/>
        <w:ind w:firstLine="708"/>
        <w:jc w:val="both"/>
        <w:rPr>
          <w:rFonts w:ascii="Arial" w:eastAsiaTheme="minorEastAsia" w:hAnsi="Arial" w:cs="Arial"/>
          <w:lang w:val="es-MX" w:eastAsia="es-CO"/>
        </w:rPr>
      </w:pPr>
      <w:r w:rsidRPr="00407259">
        <w:rPr>
          <w:rFonts w:ascii="Arial" w:eastAsiaTheme="minorEastAsia" w:hAnsi="Arial" w:cs="Arial"/>
          <w:lang w:eastAsia="es-CO"/>
        </w:rPr>
        <w:t>Según</w:t>
      </w:r>
      <w:r w:rsidRPr="00407259">
        <w:rPr>
          <w:rFonts w:ascii="Arial" w:eastAsiaTheme="minorEastAsia" w:hAnsi="Arial" w:cs="Arial"/>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7D26EC39" w14:textId="77777777" w:rsidR="00FE5775" w:rsidRPr="00407259" w:rsidRDefault="00FE5775" w:rsidP="00FE5775">
      <w:pPr>
        <w:spacing w:before="120" w:after="120" w:line="276" w:lineRule="auto"/>
        <w:ind w:firstLine="709"/>
        <w:jc w:val="both"/>
        <w:rPr>
          <w:rFonts w:ascii="Arial" w:hAnsi="Arial" w:cs="Arial"/>
        </w:rPr>
      </w:pPr>
      <w:r w:rsidRPr="00407259">
        <w:rPr>
          <w:rFonts w:ascii="Arial" w:hAnsi="Arial" w:cs="Arial"/>
          <w:lang w:val="es-MX"/>
        </w:rPr>
        <w:lastRenderedPageBreak/>
        <w:t xml:space="preserve">La </w:t>
      </w:r>
      <w:r w:rsidRPr="00407259">
        <w:rPr>
          <w:rFonts w:ascii="Arial" w:hAnsi="Arial" w:cs="Arial"/>
        </w:rPr>
        <w:t xml:space="preserve">regla de verificación de la información prevista en el numeral 1.11 del documento base aplica frente a la totalidad de la información y documentación aportada para cumplir los requisitos exigidos en el pliego de condiciones. Además, dispone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594141AA" w14:textId="77777777" w:rsidR="00FE5775" w:rsidRPr="00407259" w:rsidRDefault="00FE5775" w:rsidP="00FE5775">
      <w:pPr>
        <w:spacing w:before="120" w:after="120" w:line="276" w:lineRule="auto"/>
        <w:ind w:firstLine="709"/>
        <w:jc w:val="both"/>
        <w:rPr>
          <w:rFonts w:ascii="Arial" w:hAnsi="Arial" w:cs="Arial"/>
        </w:rPr>
      </w:pPr>
      <w:r w:rsidRPr="00407259">
        <w:rPr>
          <w:rFonts w:ascii="Arial" w:hAnsi="Arial" w:cs="Arial"/>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37810A5F" w14:textId="5E6993D2" w:rsidR="00FE5775" w:rsidRPr="00407259" w:rsidRDefault="00FE5775" w:rsidP="00FE5775">
      <w:pPr>
        <w:spacing w:before="120" w:after="120" w:line="276" w:lineRule="auto"/>
        <w:ind w:firstLine="708"/>
        <w:jc w:val="both"/>
        <w:rPr>
          <w:rFonts w:ascii="Arial" w:hAnsi="Arial" w:cs="Arial"/>
        </w:rPr>
      </w:pPr>
      <w:r w:rsidRPr="00407259">
        <w:rPr>
          <w:rFonts w:ascii="Arial" w:hAnsi="Arial" w:cs="Arial"/>
        </w:rPr>
        <w:t>Ahora bien, aunque las</w:t>
      </w:r>
      <w:r w:rsidRPr="00407259">
        <w:rPr>
          <w:rFonts w:ascii="Arial" w:hAnsi="Arial" w:cs="Arial"/>
          <w:szCs w:val="20"/>
        </w:rPr>
        <w:t xml:space="preserve"> causales de rechazo del literal E, H y Z del numeral 1.15 de los documentos tipo se relacionan con la capacidad residual como requisito habilitante</w:t>
      </w:r>
      <w:r w:rsidRPr="00407259">
        <w:rPr>
          <w:rFonts w:ascii="Arial" w:hAnsi="Arial" w:cs="Arial"/>
        </w:rPr>
        <w:t xml:space="preserve">, estas se aplican en supuestos diferentes, de acuerdo con lo explicado </w:t>
      </w:r>
      <w:r w:rsidRPr="00407259">
        <w:rPr>
          <w:rFonts w:ascii="Arial" w:hAnsi="Arial" w:cs="Arial"/>
          <w:i/>
        </w:rPr>
        <w:t>ut supra</w:t>
      </w:r>
      <w:r w:rsidRPr="00407259">
        <w:rPr>
          <w:rFonts w:ascii="Arial" w:hAnsi="Arial" w:cs="Arial"/>
        </w:rPr>
        <w:t>. De esta manera, 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w:t>
      </w:r>
      <w:r w:rsidR="00722E33">
        <w:rPr>
          <w:rFonts w:ascii="Arial" w:hAnsi="Arial" w:cs="Arial"/>
        </w:rPr>
        <w:t>, es decir en el formato 5</w:t>
      </w:r>
      <w:r w:rsidR="00A4106A">
        <w:rPr>
          <w:rFonts w:ascii="Arial" w:hAnsi="Arial" w:cs="Arial"/>
        </w:rPr>
        <w:t>, y efectivamente tiene contratos en ejecución omitiendo su información</w:t>
      </w:r>
      <w:r w:rsidRPr="00407259">
        <w:rPr>
          <w:rFonts w:ascii="Arial" w:hAnsi="Arial" w:cs="Arial"/>
        </w:rPr>
        <w:t xml:space="preserve">. </w:t>
      </w:r>
    </w:p>
    <w:p w14:paraId="6C77C2C3" w14:textId="0D50A93A" w:rsidR="00FE5775" w:rsidRPr="00407259" w:rsidRDefault="00FE5775" w:rsidP="00FE5775">
      <w:pPr>
        <w:spacing w:before="120" w:after="120" w:line="276" w:lineRule="auto"/>
        <w:ind w:firstLine="708"/>
        <w:jc w:val="both"/>
        <w:rPr>
          <w:rFonts w:ascii="Arial" w:hAnsi="Arial" w:cs="Arial"/>
        </w:rPr>
      </w:pPr>
      <w:r w:rsidRPr="00407259">
        <w:rPr>
          <w:rFonts w:ascii="Arial" w:hAnsi="Arial" w:cs="Arial"/>
        </w:rPr>
        <w:t xml:space="preserve">Finalmente, esta distinción también se proyecta sobre las reglas de subsanabilidad de las ofertas de la Ley 1150 de 2007, pues solo habrá lugar a subsanar en los eventos en los que el proponente omite información sobre los contratos informados, esto es, en el evento de la causal del literal E. Dicho de otra forma, no se puede subsanar cuando se incurre en las causales H y Z, eventos en los cuales el rechazo procede de forma automática, es decir, sin permitirle al </w:t>
      </w:r>
      <w:r w:rsidRPr="00407259">
        <w:rPr>
          <w:rFonts w:ascii="Arial" w:hAnsi="Arial" w:cs="Arial"/>
        </w:rPr>
        <w:lastRenderedPageBreak/>
        <w:t>proponente subsanar la “inexactitud” de la oferta o el número de contratos de obra que tenía el deber de reportar</w:t>
      </w:r>
      <w:r w:rsidR="001D7A6A">
        <w:rPr>
          <w:rFonts w:ascii="Arial" w:hAnsi="Arial" w:cs="Arial"/>
        </w:rPr>
        <w:t xml:space="preserve"> o el reporte </w:t>
      </w:r>
      <w:r w:rsidR="003900A0">
        <w:rPr>
          <w:rFonts w:ascii="Arial" w:hAnsi="Arial" w:cs="Arial"/>
        </w:rPr>
        <w:t xml:space="preserve">como tal </w:t>
      </w:r>
      <w:r w:rsidR="001D7A6A">
        <w:rPr>
          <w:rFonts w:ascii="Arial" w:hAnsi="Arial" w:cs="Arial"/>
        </w:rPr>
        <w:t>de los contratos</w:t>
      </w:r>
      <w:r w:rsidRPr="00407259">
        <w:rPr>
          <w:rFonts w:ascii="Arial" w:hAnsi="Arial" w:cs="Arial"/>
        </w:rPr>
        <w:t>, dada la forma en que están configuradas las causales de rechazo enunciadas.</w:t>
      </w:r>
    </w:p>
    <w:p w14:paraId="4977B464" w14:textId="77777777" w:rsidR="00FE5775" w:rsidRPr="00407259" w:rsidRDefault="00FE5775" w:rsidP="00FE5775">
      <w:pPr>
        <w:spacing w:before="120" w:after="120" w:line="276" w:lineRule="auto"/>
        <w:ind w:firstLine="708"/>
        <w:jc w:val="both"/>
        <w:rPr>
          <w:rFonts w:ascii="Arial" w:hAnsi="Arial" w:cs="Arial"/>
        </w:rPr>
      </w:pPr>
      <w:r w:rsidRPr="00407259">
        <w:rPr>
          <w:rFonts w:ascii="Arial" w:hAnsi="Arial" w:cs="Arial"/>
          <w:noProof/>
        </w:rPr>
        <w:t>Ahora bien, es importate precisar que lo</w:t>
      </w:r>
      <w:r w:rsidRPr="00407259">
        <w:rPr>
          <w:rFonts w:ascii="Arial" w:hAnsi="Arial" w:cs="Arial"/>
        </w:rPr>
        <w:t xml:space="preserve"> expresado en el párrafo precedente no contradice lo dispuesto en el artículo 5, parágrafo 1, de la Ley 1150 de 2007, adicionado por el artículo 5 de la Ley 1882 de 2018, norma que dispone que “[…]</w:t>
      </w:r>
      <w:r w:rsidRPr="00407259">
        <w:t xml:space="preserve"> </w:t>
      </w:r>
      <w:r w:rsidRPr="00407259">
        <w:rPr>
          <w:rFonts w:ascii="Arial" w:hAnsi="Arial" w:cs="Arial"/>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requisitos habilitantes a los que se refiere el Capítulo III del documento base. Sin embargo, los supuestos de hecho en los que se fundamentan las causales de rechazo no permiten la subsanación. De esta manera, la imposibilidad de subsanar se deriva, entonces, del supuesto de hecho de aquellas causales, sin que en esto sea relevante que se otorguen o no puntos a la propuesta por el requisito de capacidad residual. </w:t>
      </w:r>
    </w:p>
    <w:p w14:paraId="10503C6B" w14:textId="29F9C3B0" w:rsidR="00FE5775" w:rsidRPr="00407259" w:rsidRDefault="00FE5775" w:rsidP="00FE5775">
      <w:pPr>
        <w:spacing w:before="120" w:after="120" w:line="276" w:lineRule="auto"/>
        <w:ind w:firstLine="709"/>
        <w:jc w:val="both"/>
        <w:rPr>
          <w:rFonts w:ascii="Arial" w:hAnsi="Arial" w:cs="Arial"/>
        </w:rPr>
      </w:pPr>
      <w:r w:rsidRPr="00407259">
        <w:rPr>
          <w:rFonts w:ascii="Arial" w:hAnsi="Arial" w:cs="Arial"/>
        </w:rPr>
        <w:t xml:space="preserve">Como se expresó, la causal del literal Z procede cuando el proponente no informa todos los contratos de obra, fenómeno que se verifica </w:t>
      </w:r>
      <w:r w:rsidR="0061039D">
        <w:rPr>
          <w:rFonts w:ascii="Arial" w:hAnsi="Arial" w:cs="Arial"/>
        </w:rPr>
        <w:t>con el formato 5</w:t>
      </w:r>
      <w:r w:rsidRPr="00407259">
        <w:rPr>
          <w:rFonts w:ascii="Arial" w:hAnsi="Arial" w:cs="Arial"/>
        </w:rPr>
        <w:t xml:space="preserve">. En este supuesto, lo que genera el rechazo de la oferta no es la ausencia de la información del contrato omitido, sino el hecho de haberse </w:t>
      </w:r>
      <w:r w:rsidR="006379A8">
        <w:rPr>
          <w:rFonts w:ascii="Arial" w:hAnsi="Arial" w:cs="Arial"/>
        </w:rPr>
        <w:t xml:space="preserve">omitido anexar el documento mediante el cual se acredita la capacidad residual, correspondiente </w:t>
      </w:r>
      <w:r w:rsidR="00212745">
        <w:rPr>
          <w:rFonts w:ascii="Arial" w:hAnsi="Arial" w:cs="Arial"/>
        </w:rPr>
        <w:t xml:space="preserve">a </w:t>
      </w:r>
      <w:r w:rsidR="006379A8">
        <w:rPr>
          <w:rFonts w:ascii="Arial" w:hAnsi="Arial" w:cs="Arial"/>
        </w:rPr>
        <w:t xml:space="preserve">el Formato 5, </w:t>
      </w:r>
      <w:r w:rsidR="00212745">
        <w:rPr>
          <w:rFonts w:ascii="Arial" w:hAnsi="Arial" w:cs="Arial"/>
        </w:rPr>
        <w:t>en caso de tener efectivamente contratos en ejecución</w:t>
      </w:r>
      <w:r w:rsidR="00970597">
        <w:rPr>
          <w:rFonts w:ascii="Arial" w:hAnsi="Arial" w:cs="Arial"/>
        </w:rPr>
        <w:t xml:space="preserve">. </w:t>
      </w:r>
      <w:r w:rsidRPr="00407259">
        <w:rPr>
          <w:rFonts w:ascii="Arial" w:hAnsi="Arial" w:cs="Arial"/>
        </w:rPr>
        <w:t xml:space="preserve">Incluso, en el evento en que el proponente “corrija” el error </w:t>
      </w:r>
      <w:r w:rsidR="006379A8">
        <w:rPr>
          <w:rFonts w:ascii="Arial" w:hAnsi="Arial" w:cs="Arial"/>
        </w:rPr>
        <w:t xml:space="preserve">y </w:t>
      </w:r>
      <w:r w:rsidR="00970597">
        <w:rPr>
          <w:rFonts w:ascii="Arial" w:hAnsi="Arial" w:cs="Arial"/>
        </w:rPr>
        <w:t>a</w:t>
      </w:r>
      <w:r w:rsidR="006379A8">
        <w:rPr>
          <w:rFonts w:ascii="Arial" w:hAnsi="Arial" w:cs="Arial"/>
        </w:rPr>
        <w:t>porte el for</w:t>
      </w:r>
      <w:r w:rsidR="00D57DE8">
        <w:rPr>
          <w:rFonts w:ascii="Arial" w:hAnsi="Arial" w:cs="Arial"/>
        </w:rPr>
        <w:t>mato 5,</w:t>
      </w:r>
      <w:r w:rsidRPr="00407259">
        <w:rPr>
          <w:rFonts w:ascii="Arial" w:hAnsi="Arial" w:cs="Arial"/>
        </w:rPr>
        <w:t xml:space="preserve"> inform</w:t>
      </w:r>
      <w:r w:rsidR="00D57DE8">
        <w:rPr>
          <w:rFonts w:ascii="Arial" w:hAnsi="Arial" w:cs="Arial"/>
        </w:rPr>
        <w:t>ando</w:t>
      </w:r>
      <w:r w:rsidRPr="00407259">
        <w:rPr>
          <w:rFonts w:ascii="Arial" w:hAnsi="Arial" w:cs="Arial"/>
        </w:rPr>
        <w:t xml:space="preserve"> la existencia de </w:t>
      </w:r>
      <w:r w:rsidR="00D57DE8">
        <w:rPr>
          <w:rFonts w:ascii="Arial" w:hAnsi="Arial" w:cs="Arial"/>
        </w:rPr>
        <w:t>c</w:t>
      </w:r>
      <w:r w:rsidRPr="00407259">
        <w:rPr>
          <w:rFonts w:ascii="Arial" w:hAnsi="Arial" w:cs="Arial"/>
        </w:rPr>
        <w:t>ontrato</w:t>
      </w:r>
      <w:r w:rsidR="00D57DE8">
        <w:rPr>
          <w:rFonts w:ascii="Arial" w:hAnsi="Arial" w:cs="Arial"/>
        </w:rPr>
        <w:t>s en ejecución no reportados al momento del cierre del proceso</w:t>
      </w:r>
      <w:r w:rsidRPr="00407259">
        <w:rPr>
          <w:rFonts w:ascii="Arial" w:hAnsi="Arial" w:cs="Arial"/>
        </w:rPr>
        <w:t xml:space="preserve">, implica aceptar que ocurrió la causal del literal Z, esto es, que el proponente incumplió su obligación de informar todos los contratos de obra que tenía en </w:t>
      </w:r>
      <w:r w:rsidR="00970597">
        <w:rPr>
          <w:rFonts w:ascii="Arial" w:hAnsi="Arial" w:cs="Arial"/>
        </w:rPr>
        <w:t>ejecución al momento del cierre del proceso de selecció</w:t>
      </w:r>
      <w:r w:rsidRPr="00407259">
        <w:rPr>
          <w:rFonts w:ascii="Arial" w:hAnsi="Arial" w:cs="Arial"/>
        </w:rPr>
        <w:t xml:space="preserve">n. </w:t>
      </w:r>
    </w:p>
    <w:p w14:paraId="712A9169" w14:textId="77777777" w:rsidR="00FE5775" w:rsidRPr="00407259" w:rsidRDefault="00FE5775" w:rsidP="00FE5775">
      <w:pPr>
        <w:spacing w:before="120" w:after="120" w:line="276" w:lineRule="auto"/>
        <w:ind w:firstLine="709"/>
        <w:jc w:val="both"/>
        <w:rPr>
          <w:rFonts w:ascii="Arial" w:hAnsi="Arial" w:cs="Arial"/>
        </w:rPr>
      </w:pPr>
      <w:r w:rsidRPr="00407259">
        <w:rPr>
          <w:rFonts w:ascii="Arial" w:hAnsi="Arial" w:cs="Arial"/>
        </w:rPr>
        <w:t xml:space="preserve">Conclusión similar le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407259">
        <w:rPr>
          <w:rFonts w:ascii="Arial" w:hAnsi="Arial" w:cs="Arial"/>
          <w:i/>
        </w:rPr>
        <w:t>sub examine</w:t>
      </w:r>
      <w:r w:rsidRPr="00407259">
        <w:rPr>
          <w:rFonts w:ascii="Arial" w:hAnsi="Arial" w:cs="Arial"/>
        </w:rPr>
        <w:t xml:space="preserve"> es desincentivar todas las prácticas fraudulentas en los procesos de contratación estatal. </w:t>
      </w:r>
    </w:p>
    <w:p w14:paraId="62F735BE" w14:textId="77777777" w:rsidR="00FE5775" w:rsidRPr="00407259" w:rsidRDefault="00FE5775" w:rsidP="00FE5775">
      <w:pPr>
        <w:spacing w:before="120" w:after="120" w:line="276" w:lineRule="auto"/>
        <w:jc w:val="both"/>
        <w:rPr>
          <w:rFonts w:ascii="Arial" w:hAnsi="Arial" w:cs="Arial"/>
        </w:rPr>
      </w:pPr>
      <w:r w:rsidRPr="00407259">
        <w:rPr>
          <w:rFonts w:ascii="Arial" w:hAnsi="Arial" w:cs="Arial"/>
        </w:rPr>
        <w:tab/>
        <w:t xml:space="preserve">Recogiendo las tesis de conceptos anteriores de esta Agencia, y reiterando particularmente la postura definida en el concepto C-663 del 30 de noviembre de 2021,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w:t>
      </w:r>
      <w:bookmarkStart w:id="12" w:name="_Hlk91597072"/>
      <w:bookmarkStart w:id="13" w:name="_Hlk91170093"/>
    </w:p>
    <w:bookmarkEnd w:id="2"/>
    <w:bookmarkEnd w:id="12"/>
    <w:bookmarkEnd w:id="13"/>
    <w:p w14:paraId="6C889832" w14:textId="297D2AE2" w:rsidR="00FE5775" w:rsidRPr="008D7753" w:rsidRDefault="00FE5775" w:rsidP="008D7753">
      <w:pPr>
        <w:pStyle w:val="Prrafodelista"/>
        <w:numPr>
          <w:ilvl w:val="0"/>
          <w:numId w:val="4"/>
        </w:numPr>
        <w:spacing w:after="0" w:line="276" w:lineRule="auto"/>
        <w:jc w:val="both"/>
        <w:rPr>
          <w:rFonts w:ascii="Arial" w:eastAsia="Calibri" w:hAnsi="Arial" w:cs="Arial"/>
          <w:b/>
          <w:szCs w:val="24"/>
          <w:lang w:eastAsia="es-MX"/>
        </w:rPr>
      </w:pPr>
      <w:r w:rsidRPr="008D7753">
        <w:rPr>
          <w:rFonts w:ascii="Arial" w:eastAsia="Calibri" w:hAnsi="Arial" w:cs="Arial"/>
          <w:b/>
          <w:szCs w:val="24"/>
          <w:lang w:eastAsia="es-MX"/>
        </w:rPr>
        <w:lastRenderedPageBreak/>
        <w:t>Respuesta</w:t>
      </w:r>
    </w:p>
    <w:p w14:paraId="39550764" w14:textId="77777777" w:rsidR="00FE5775" w:rsidRPr="00407259" w:rsidRDefault="00FE5775" w:rsidP="00FE5775">
      <w:pPr>
        <w:spacing w:after="0" w:line="276" w:lineRule="auto"/>
        <w:ind w:firstLine="709"/>
        <w:jc w:val="both"/>
        <w:rPr>
          <w:rFonts w:ascii="Arial" w:eastAsia="Times New Roman" w:hAnsi="Arial" w:cs="Arial"/>
          <w:i/>
          <w:iCs/>
          <w:color w:val="000000"/>
          <w:szCs w:val="24"/>
          <w:shd w:val="clear" w:color="auto" w:fill="FFFFFF"/>
          <w:lang w:val="es-ES" w:eastAsia="es-MX"/>
        </w:rPr>
      </w:pPr>
    </w:p>
    <w:p w14:paraId="7C3D0245" w14:textId="77777777" w:rsidR="00846B53" w:rsidRPr="007F1C7A" w:rsidRDefault="00846B53" w:rsidP="00846B53">
      <w:pPr>
        <w:spacing w:line="240" w:lineRule="auto"/>
        <w:ind w:left="709" w:right="709"/>
        <w:jc w:val="both"/>
        <w:rPr>
          <w:rFonts w:ascii="Arial" w:hAnsi="Arial" w:cs="Arial"/>
          <w:sz w:val="21"/>
          <w:szCs w:val="21"/>
        </w:rPr>
      </w:pPr>
      <w:r w:rsidRPr="007F1C7A">
        <w:rPr>
          <w:rFonts w:ascii="Arial" w:hAnsi="Arial" w:cs="Arial"/>
          <w:sz w:val="21"/>
          <w:szCs w:val="21"/>
        </w:rPr>
        <w:t>“Es claro que la causal de rechazo Y. No informar todos los contratos que el Proponente tenga en ejecución antes del cierre, necesarios para acreditar su capacidad residual conforme con la sección 3.10.  Nos especifica que cuando se informe un número de inferior de contratos en ejecución en el Formato 5 - Capacidad Residual , se debe rechazar la propuesta y la ustedes han aclarados en diferentes conceptos que esto no es sensible objeto a subsanación, sin embargo solicitó aclarar si: ¿la omisión en la entrega con la propuesta del Formato 5 donde se relaciones los contratos en ejecución o se certifique que no se tiene, es suficiente para que las entidades rechacen una propuesta argumentando que no se informó en la propuesta los contratos en ejecución y están inmersos en la causal de rechazo, o por el contrario se debe solicitar se subsane la entrega del Formato 5 de saldos de contratos en ejecución ?” (Sic).</w:t>
      </w:r>
    </w:p>
    <w:p w14:paraId="46E8136B" w14:textId="3E2DC074" w:rsidR="00FE5775" w:rsidRPr="00407259" w:rsidRDefault="00FE5775" w:rsidP="00846B53">
      <w:pPr>
        <w:tabs>
          <w:tab w:val="left" w:pos="426"/>
          <w:tab w:val="left" w:pos="1993"/>
        </w:tabs>
        <w:spacing w:after="0"/>
        <w:ind w:left="709" w:right="709"/>
        <w:jc w:val="both"/>
        <w:rPr>
          <w:rFonts w:ascii="Arial" w:hAnsi="Arial" w:cs="Arial"/>
          <w:szCs w:val="20"/>
        </w:rPr>
      </w:pPr>
    </w:p>
    <w:p w14:paraId="02CD5CE9" w14:textId="77777777" w:rsidR="00A6366A" w:rsidRDefault="00FE5775" w:rsidP="003E2FB5">
      <w:pPr>
        <w:tabs>
          <w:tab w:val="left" w:pos="426"/>
        </w:tabs>
        <w:spacing w:after="120" w:line="276" w:lineRule="auto"/>
        <w:jc w:val="both"/>
        <w:rPr>
          <w:rFonts w:ascii="Arial" w:hAnsi="Arial" w:cs="Arial"/>
        </w:rPr>
      </w:pPr>
      <w:bookmarkStart w:id="14" w:name="_Hlk142458265"/>
      <w:r w:rsidRPr="00407259">
        <w:rPr>
          <w:rFonts w:ascii="Arial" w:hAnsi="Arial" w:cs="Arial"/>
        </w:rPr>
        <w:t xml:space="preserve">De acuerdo </w:t>
      </w:r>
      <w:r w:rsidR="008D4C87">
        <w:rPr>
          <w:rFonts w:ascii="Arial" w:hAnsi="Arial" w:cs="Arial"/>
        </w:rPr>
        <w:t>con lo explicado</w:t>
      </w:r>
      <w:r w:rsidRPr="00407259">
        <w:rPr>
          <w:rFonts w:ascii="Arial" w:hAnsi="Arial" w:cs="Arial"/>
        </w:rPr>
        <w:t xml:space="preserve">, </w:t>
      </w:r>
      <w:r w:rsidR="003E2FB5" w:rsidRPr="003E2FB5">
        <w:rPr>
          <w:rFonts w:ascii="Arial" w:hAnsi="Arial" w:cs="Arial"/>
        </w:rPr>
        <w:t>la</w:t>
      </w:r>
      <w:r w:rsidR="003E2FB5" w:rsidRPr="0081560D">
        <w:rPr>
          <w:rFonts w:ascii="Arial" w:hAnsi="Arial" w:cs="Arial"/>
          <w:i/>
          <w:iCs/>
        </w:rPr>
        <w:t xml:space="preserve"> </w:t>
      </w:r>
      <w:r w:rsidR="003E2FB5" w:rsidRPr="003E2FB5">
        <w:rPr>
          <w:rFonts w:ascii="Arial" w:hAnsi="Arial" w:cs="Arial"/>
        </w:rPr>
        <w:t>Capacidad Residual es un requisito habilitante</w:t>
      </w:r>
      <w:r w:rsidR="003E2FB5" w:rsidRPr="0081560D">
        <w:rPr>
          <w:rFonts w:ascii="Arial" w:hAnsi="Arial" w:cs="Arial"/>
        </w:rPr>
        <w:t xml:space="preserve"> </w:t>
      </w:r>
      <w:r w:rsidR="0023355F">
        <w:rPr>
          <w:rFonts w:ascii="Arial" w:hAnsi="Arial" w:cs="Arial"/>
        </w:rPr>
        <w:t xml:space="preserve">que </w:t>
      </w:r>
      <w:r w:rsidR="003E2FB5" w:rsidRPr="0081560D">
        <w:rPr>
          <w:rFonts w:ascii="Arial" w:hAnsi="Arial" w:cs="Arial"/>
        </w:rPr>
        <w:t>está sujet</w:t>
      </w:r>
      <w:r w:rsidR="0023355F">
        <w:rPr>
          <w:rFonts w:ascii="Arial" w:hAnsi="Arial" w:cs="Arial"/>
        </w:rPr>
        <w:t>o</w:t>
      </w:r>
      <w:r w:rsidR="003E2FB5" w:rsidRPr="0081560D">
        <w:rPr>
          <w:rFonts w:ascii="Arial" w:hAnsi="Arial" w:cs="Arial"/>
        </w:rPr>
        <w:t xml:space="preserve"> a la posibilidad </w:t>
      </w:r>
      <w:r w:rsidR="003E2FB5">
        <w:rPr>
          <w:rFonts w:ascii="Arial" w:hAnsi="Arial" w:cs="Arial"/>
        </w:rPr>
        <w:t xml:space="preserve">de solicitarle </w:t>
      </w:r>
      <w:r w:rsidR="003E2FB5" w:rsidRPr="0081560D">
        <w:rPr>
          <w:rFonts w:ascii="Arial" w:hAnsi="Arial" w:cs="Arial"/>
        </w:rPr>
        <w:t>aclara</w:t>
      </w:r>
      <w:r w:rsidR="003E2FB5">
        <w:rPr>
          <w:rFonts w:ascii="Arial" w:hAnsi="Arial" w:cs="Arial"/>
        </w:rPr>
        <w:t>ción</w:t>
      </w:r>
      <w:r w:rsidR="003E2FB5" w:rsidRPr="0081560D">
        <w:rPr>
          <w:rFonts w:ascii="Arial" w:hAnsi="Arial" w:cs="Arial"/>
        </w:rPr>
        <w:t xml:space="preserve">, con el fin de esclarecer dudas sobre aspectos de la información presentada por el proponente </w:t>
      </w:r>
      <w:r w:rsidR="003E2FB5">
        <w:rPr>
          <w:rFonts w:ascii="Arial" w:hAnsi="Arial" w:cs="Arial"/>
        </w:rPr>
        <w:t xml:space="preserve">y de igual forma, esa sujeta a la posibilidad de </w:t>
      </w:r>
      <w:r w:rsidR="003E2FB5" w:rsidRPr="0081560D">
        <w:rPr>
          <w:rFonts w:ascii="Arial" w:hAnsi="Arial" w:cs="Arial"/>
        </w:rPr>
        <w:t>subsanar la ausencia de requisitos, siempre que se cumpla con los límites temporales y materiales descritos</w:t>
      </w:r>
      <w:r w:rsidR="0023355F">
        <w:rPr>
          <w:rFonts w:ascii="Arial" w:hAnsi="Arial" w:cs="Arial"/>
        </w:rPr>
        <w:t xml:space="preserve"> en este concepto</w:t>
      </w:r>
      <w:r w:rsidR="003E2FB5">
        <w:rPr>
          <w:rFonts w:ascii="Arial" w:hAnsi="Arial" w:cs="Arial"/>
        </w:rPr>
        <w:t>,</w:t>
      </w:r>
      <w:r w:rsidR="003E2FB5" w:rsidRPr="0081560D">
        <w:rPr>
          <w:rFonts w:ascii="Arial" w:hAnsi="Arial" w:cs="Arial"/>
        </w:rPr>
        <w:t xml:space="preserve"> </w:t>
      </w:r>
      <w:r w:rsidR="003E2FB5">
        <w:rPr>
          <w:rFonts w:ascii="Arial" w:hAnsi="Arial" w:cs="Arial"/>
        </w:rPr>
        <w:t xml:space="preserve">es decir, </w:t>
      </w:r>
      <w:r w:rsidR="003E2FB5" w:rsidRPr="0081560D">
        <w:rPr>
          <w:rFonts w:ascii="Arial" w:hAnsi="Arial" w:cs="Arial"/>
          <w:lang w:val="es-ES_tradnl"/>
        </w:rPr>
        <w:t>que lo omitido no sea un factor que afecte la asignación de puntaje</w:t>
      </w:r>
      <w:r w:rsidR="003E2FB5">
        <w:rPr>
          <w:rFonts w:ascii="Arial" w:hAnsi="Arial" w:cs="Arial"/>
          <w:lang w:val="es-ES_tradnl"/>
        </w:rPr>
        <w:t xml:space="preserve">, </w:t>
      </w:r>
      <w:r w:rsidR="006515C5">
        <w:rPr>
          <w:rFonts w:ascii="Arial" w:hAnsi="Arial" w:cs="Arial"/>
          <w:lang w:val="es-ES_tradnl"/>
        </w:rPr>
        <w:t xml:space="preserve">que </w:t>
      </w:r>
      <w:r w:rsidR="003E2FB5" w:rsidRPr="0081560D">
        <w:rPr>
          <w:rFonts w:ascii="Arial" w:hAnsi="Arial" w:cs="Arial"/>
          <w:lang w:val="es-ES_tradnl"/>
        </w:rPr>
        <w:t>sea la prueba de una circunstancia o hecho que ocurrió con anterioridad al cierre del proceso</w:t>
      </w:r>
      <w:r w:rsidR="003E2FB5">
        <w:rPr>
          <w:rFonts w:ascii="Arial" w:hAnsi="Arial" w:cs="Arial"/>
          <w:lang w:val="es-ES_tradnl"/>
        </w:rPr>
        <w:t xml:space="preserve"> y </w:t>
      </w:r>
      <w:r w:rsidR="006515C5">
        <w:rPr>
          <w:rFonts w:ascii="Arial" w:hAnsi="Arial" w:cs="Arial"/>
          <w:lang w:val="es-ES_tradnl"/>
        </w:rPr>
        <w:t xml:space="preserve">que </w:t>
      </w:r>
      <w:r w:rsidR="003E2FB5">
        <w:rPr>
          <w:rFonts w:ascii="Arial" w:hAnsi="Arial" w:cs="Arial"/>
          <w:lang w:val="es-ES_tradnl"/>
        </w:rPr>
        <w:t>no existe disposición legal o en el pliego de condiciones que prohíba su subsanación</w:t>
      </w:r>
      <w:r w:rsidR="003E2FB5" w:rsidRPr="0081560D">
        <w:rPr>
          <w:rFonts w:ascii="Arial" w:hAnsi="Arial" w:cs="Arial"/>
        </w:rPr>
        <w:t xml:space="preserve">. </w:t>
      </w:r>
    </w:p>
    <w:p w14:paraId="503DD3AD" w14:textId="4384F200" w:rsidR="00FE5775" w:rsidRPr="00407259" w:rsidRDefault="00A6366A" w:rsidP="00846B53">
      <w:pPr>
        <w:tabs>
          <w:tab w:val="left" w:pos="426"/>
        </w:tabs>
        <w:spacing w:after="120" w:line="276" w:lineRule="auto"/>
        <w:jc w:val="both"/>
        <w:rPr>
          <w:rFonts w:ascii="Arial" w:hAnsi="Arial" w:cs="Arial"/>
        </w:rPr>
      </w:pPr>
      <w:r>
        <w:rPr>
          <w:rFonts w:ascii="Arial" w:hAnsi="Arial" w:cs="Arial"/>
        </w:rPr>
        <w:tab/>
      </w:r>
      <w:r w:rsidR="006515C5">
        <w:rPr>
          <w:rFonts w:ascii="Arial" w:hAnsi="Arial" w:cs="Arial"/>
        </w:rPr>
        <w:t xml:space="preserve">Frente a esta último requisito, en el contexto </w:t>
      </w:r>
      <w:r>
        <w:rPr>
          <w:rFonts w:ascii="Arial" w:hAnsi="Arial" w:cs="Arial"/>
        </w:rPr>
        <w:t>de un proceso de selección adelantado por documento tipo</w:t>
      </w:r>
      <w:r w:rsidR="00E10F92">
        <w:rPr>
          <w:rFonts w:ascii="Arial" w:hAnsi="Arial" w:cs="Arial"/>
        </w:rPr>
        <w:t xml:space="preserve">, </w:t>
      </w:r>
      <w:r w:rsidR="00FE5775" w:rsidRPr="00407259">
        <w:rPr>
          <w:rFonts w:ascii="Arial" w:hAnsi="Arial" w:cs="Arial"/>
        </w:rPr>
        <w:t xml:space="preserve">el Formato 5 es el documento destinado a la acreditación de la capacidad residual, en el que debe consignarse la información requerida para su acreditación de conformidad con el artículo 2.2.1.1.1.6.4 del Decreto 1082 de </w:t>
      </w:r>
      <w:r w:rsidR="00D0014B" w:rsidRPr="00407259">
        <w:rPr>
          <w:rFonts w:ascii="Arial" w:hAnsi="Arial" w:cs="Arial"/>
        </w:rPr>
        <w:t>2015,</w:t>
      </w:r>
      <w:r w:rsidR="00FE5775" w:rsidRPr="00407259">
        <w:rPr>
          <w:rFonts w:ascii="Arial" w:hAnsi="Arial" w:cs="Arial"/>
        </w:rPr>
        <w:t xml:space="preserve"> Dicha información es la que debe aportar el proponente para acreditar su capacidad residual, de esta forma, según se evidencia, el proponente deberá relacionar </w:t>
      </w:r>
      <w:r w:rsidR="00FE5775" w:rsidRPr="00407259">
        <w:rPr>
          <w:rFonts w:ascii="Arial" w:eastAsia="Calibri" w:hAnsi="Arial" w:cs="Arial"/>
          <w:lang w:val="es-MX"/>
        </w:rPr>
        <w:t>para</w:t>
      </w:r>
      <w:r w:rsidR="00FE5775" w:rsidRPr="00407259">
        <w:rPr>
          <w:rFonts w:ascii="Arial" w:eastAsia="Arial," w:hAnsi="Arial" w:cs="Arial"/>
          <w:lang w:val="es-MX"/>
        </w:rPr>
        <w:t xml:space="preserve"> </w:t>
      </w:r>
      <w:r w:rsidR="00FE5775" w:rsidRPr="00407259">
        <w:rPr>
          <w:rFonts w:ascii="Arial" w:eastAsia="Calibri" w:hAnsi="Arial" w:cs="Arial"/>
          <w:lang w:val="es-MX"/>
        </w:rPr>
        <w:t>acreditar</w:t>
      </w:r>
      <w:r w:rsidR="00FE5775" w:rsidRPr="00407259">
        <w:rPr>
          <w:rFonts w:ascii="Arial" w:eastAsia="Arial," w:hAnsi="Arial" w:cs="Arial"/>
          <w:lang w:val="es-MX"/>
        </w:rPr>
        <w:t xml:space="preserve"> </w:t>
      </w:r>
      <w:r w:rsidR="00FE5775" w:rsidRPr="00407259">
        <w:rPr>
          <w:rFonts w:ascii="Arial" w:eastAsia="Calibri" w:hAnsi="Arial" w:cs="Arial"/>
          <w:lang w:val="es-MX"/>
        </w:rPr>
        <w:t>el</w:t>
      </w:r>
      <w:r w:rsidR="00FE5775" w:rsidRPr="00407259">
        <w:rPr>
          <w:rFonts w:ascii="Arial" w:eastAsia="Arial," w:hAnsi="Arial" w:cs="Arial"/>
          <w:lang w:val="es-MX"/>
        </w:rPr>
        <w:t xml:space="preserve"> </w:t>
      </w:r>
      <w:r w:rsidR="00FE5775" w:rsidRPr="00407259">
        <w:rPr>
          <w:rFonts w:ascii="Arial" w:eastAsia="Calibri" w:hAnsi="Arial" w:cs="Arial"/>
          <w:lang w:val="es-MX"/>
        </w:rPr>
        <w:t>factor</w:t>
      </w:r>
      <w:r w:rsidR="00FE5775" w:rsidRPr="00407259">
        <w:rPr>
          <w:rFonts w:ascii="Arial" w:eastAsia="Arial," w:hAnsi="Arial" w:cs="Arial"/>
          <w:lang w:val="es-MX"/>
        </w:rPr>
        <w:t xml:space="preserve"> </w:t>
      </w:r>
      <w:r w:rsidR="00FE5775" w:rsidRPr="00407259">
        <w:rPr>
          <w:rFonts w:ascii="Arial" w:eastAsia="Calibri" w:hAnsi="Arial" w:cs="Arial"/>
          <w:lang w:val="es-MX"/>
        </w:rPr>
        <w:t>(E),</w:t>
      </w:r>
      <w:r w:rsidR="00FE5775" w:rsidRPr="00407259">
        <w:rPr>
          <w:rFonts w:ascii="Arial" w:eastAsia="Arial," w:hAnsi="Arial" w:cs="Arial"/>
          <w:lang w:val="es-MX"/>
        </w:rPr>
        <w:t xml:space="preserve"> </w:t>
      </w:r>
      <w:r w:rsidR="00FE5775" w:rsidRPr="00407259">
        <w:rPr>
          <w:rFonts w:ascii="Arial" w:eastAsia="Calibri" w:hAnsi="Arial" w:cs="Arial"/>
          <w:lang w:val="es-MX"/>
        </w:rPr>
        <w:t>todos los</w:t>
      </w:r>
      <w:r w:rsidR="00FE5775" w:rsidRPr="00407259">
        <w:rPr>
          <w:rFonts w:ascii="Arial" w:eastAsia="Arial," w:hAnsi="Arial" w:cs="Arial"/>
          <w:lang w:val="es-MX"/>
        </w:rPr>
        <w:t xml:space="preserve"> </w:t>
      </w:r>
      <w:r w:rsidR="00FE5775" w:rsidRPr="00407259">
        <w:rPr>
          <w:rFonts w:ascii="Arial" w:eastAsia="Calibri" w:hAnsi="Arial" w:cs="Arial"/>
          <w:lang w:val="es-MX"/>
        </w:rPr>
        <w:t>contratos</w:t>
      </w:r>
      <w:r w:rsidR="00FE5775" w:rsidRPr="00407259">
        <w:rPr>
          <w:rFonts w:ascii="Arial" w:eastAsia="Arial," w:hAnsi="Arial" w:cs="Arial"/>
          <w:lang w:val="es-MX"/>
        </w:rPr>
        <w:t xml:space="preserve"> </w:t>
      </w:r>
      <w:r w:rsidR="00FE5775" w:rsidRPr="00407259">
        <w:rPr>
          <w:rFonts w:ascii="Arial" w:eastAsia="Calibri" w:hAnsi="Arial" w:cs="Arial"/>
          <w:lang w:val="es-MX"/>
        </w:rPr>
        <w:t>inscritos</w:t>
      </w:r>
      <w:r w:rsidR="00FE5775" w:rsidRPr="00407259">
        <w:rPr>
          <w:rFonts w:ascii="Arial" w:eastAsia="Arial," w:hAnsi="Arial" w:cs="Arial"/>
          <w:lang w:val="es-MX"/>
        </w:rPr>
        <w:t xml:space="preserve"> </w:t>
      </w:r>
      <w:r w:rsidR="00FE5775" w:rsidRPr="00407259">
        <w:rPr>
          <w:rFonts w:ascii="Arial" w:eastAsia="Calibri" w:hAnsi="Arial" w:cs="Arial"/>
          <w:lang w:val="es-MX"/>
        </w:rPr>
        <w:t>en</w:t>
      </w:r>
      <w:r w:rsidR="00FE5775" w:rsidRPr="00407259">
        <w:rPr>
          <w:rFonts w:ascii="Arial" w:eastAsia="Arial," w:hAnsi="Arial" w:cs="Arial"/>
          <w:lang w:val="es-MX"/>
        </w:rPr>
        <w:t xml:space="preserve"> </w:t>
      </w:r>
      <w:r w:rsidR="00FE5775" w:rsidRPr="00407259">
        <w:rPr>
          <w:rFonts w:ascii="Arial" w:eastAsia="Calibri" w:hAnsi="Arial" w:cs="Arial"/>
          <w:lang w:val="es-MX"/>
        </w:rPr>
        <w:t>el</w:t>
      </w:r>
      <w:r w:rsidR="00FE5775" w:rsidRPr="00407259">
        <w:rPr>
          <w:rFonts w:ascii="Arial" w:eastAsia="Arial," w:hAnsi="Arial" w:cs="Arial"/>
          <w:lang w:val="es-MX"/>
        </w:rPr>
        <w:t xml:space="preserve"> </w:t>
      </w:r>
      <w:r w:rsidR="00FE5775" w:rsidRPr="00407259">
        <w:rPr>
          <w:rFonts w:ascii="Arial" w:eastAsia="Calibri" w:hAnsi="Arial" w:cs="Arial"/>
          <w:lang w:val="es-MX"/>
        </w:rPr>
        <w:t>segmento</w:t>
      </w:r>
      <w:r w:rsidR="00FE5775" w:rsidRPr="00407259">
        <w:rPr>
          <w:rFonts w:ascii="Arial" w:eastAsia="Arial," w:hAnsi="Arial" w:cs="Arial"/>
          <w:lang w:val="es-MX"/>
        </w:rPr>
        <w:t xml:space="preserve"> </w:t>
      </w:r>
      <w:r w:rsidR="00FE5775" w:rsidRPr="00407259">
        <w:rPr>
          <w:rFonts w:ascii="Arial" w:eastAsia="Calibri" w:hAnsi="Arial" w:cs="Arial"/>
          <w:lang w:val="es-MX"/>
        </w:rPr>
        <w:t>72</w:t>
      </w:r>
      <w:r w:rsidR="00FE5775" w:rsidRPr="00407259">
        <w:rPr>
          <w:rFonts w:ascii="Arial" w:eastAsia="Arial," w:hAnsi="Arial" w:cs="Arial"/>
          <w:lang w:val="es-MX"/>
        </w:rPr>
        <w:t xml:space="preserve"> </w:t>
      </w:r>
      <w:r w:rsidR="00FE5775" w:rsidRPr="00407259">
        <w:rPr>
          <w:rFonts w:ascii="Arial" w:eastAsia="Calibri" w:hAnsi="Arial" w:cs="Arial"/>
          <w:lang w:val="es-MX"/>
        </w:rPr>
        <w:t>y</w:t>
      </w:r>
      <w:r w:rsidR="00FE5775" w:rsidRPr="00407259">
        <w:rPr>
          <w:rFonts w:ascii="Arial" w:eastAsia="Arial," w:hAnsi="Arial" w:cs="Arial"/>
          <w:lang w:val="es-MX"/>
        </w:rPr>
        <w:t xml:space="preserve"> </w:t>
      </w:r>
      <w:r w:rsidR="00FE5775" w:rsidRPr="00407259">
        <w:rPr>
          <w:rFonts w:ascii="Arial" w:eastAsia="Calibri" w:hAnsi="Arial" w:cs="Arial"/>
          <w:lang w:val="es-MX"/>
        </w:rPr>
        <w:t>su</w:t>
      </w:r>
      <w:r w:rsidR="00FE5775" w:rsidRPr="00407259">
        <w:rPr>
          <w:rFonts w:ascii="Arial" w:eastAsia="Arial," w:hAnsi="Arial" w:cs="Arial"/>
          <w:lang w:val="es-MX"/>
        </w:rPr>
        <w:t xml:space="preserve"> </w:t>
      </w:r>
      <w:r w:rsidR="00FE5775" w:rsidRPr="00407259">
        <w:rPr>
          <w:rFonts w:ascii="Arial" w:eastAsia="Calibri" w:hAnsi="Arial" w:cs="Arial"/>
          <w:lang w:val="es-MX"/>
        </w:rPr>
        <w:t>valor</w:t>
      </w:r>
      <w:r w:rsidR="00FE5775" w:rsidRPr="00407259">
        <w:rPr>
          <w:rFonts w:ascii="Arial" w:eastAsia="Arial," w:hAnsi="Arial" w:cs="Arial"/>
          <w:lang w:val="es-MX"/>
        </w:rPr>
        <w:t xml:space="preserve"> </w:t>
      </w:r>
      <w:r w:rsidR="00FE5775" w:rsidRPr="00407259">
        <w:rPr>
          <w:rFonts w:ascii="Arial" w:eastAsia="Calibri" w:hAnsi="Arial" w:cs="Arial"/>
          <w:lang w:val="es-MX"/>
        </w:rPr>
        <w:t>total</w:t>
      </w:r>
      <w:r w:rsidR="00FE5775" w:rsidRPr="00407259">
        <w:rPr>
          <w:rFonts w:ascii="Arial" w:eastAsia="Arial," w:hAnsi="Arial" w:cs="Arial"/>
          <w:lang w:val="es-MX"/>
        </w:rPr>
        <w:t xml:space="preserve"> </w:t>
      </w:r>
      <w:r w:rsidR="00FE5775" w:rsidRPr="00407259">
        <w:rPr>
          <w:rFonts w:ascii="Arial" w:eastAsia="Calibri" w:hAnsi="Arial" w:cs="Arial"/>
          <w:lang w:val="es-MX"/>
        </w:rPr>
        <w:t>en</w:t>
      </w:r>
      <w:r w:rsidR="00FE5775" w:rsidRPr="00407259">
        <w:rPr>
          <w:rFonts w:ascii="Arial" w:eastAsia="Arial," w:hAnsi="Arial" w:cs="Arial"/>
          <w:lang w:val="es-MX"/>
        </w:rPr>
        <w:t xml:space="preserve"> </w:t>
      </w:r>
      <w:r w:rsidR="00FE5775" w:rsidRPr="00407259">
        <w:rPr>
          <w:rFonts w:ascii="Arial" w:eastAsia="Calibri" w:hAnsi="Arial" w:cs="Arial"/>
          <w:lang w:val="es-MX"/>
        </w:rPr>
        <w:t>pesos</w:t>
      </w:r>
      <w:r w:rsidR="00FE5775" w:rsidRPr="00407259">
        <w:rPr>
          <w:rFonts w:ascii="Arial" w:eastAsia="Arial," w:hAnsi="Arial" w:cs="Arial"/>
          <w:lang w:val="es-MX"/>
        </w:rPr>
        <w:t xml:space="preserve"> </w:t>
      </w:r>
      <w:r w:rsidR="00FE5775" w:rsidRPr="00407259">
        <w:rPr>
          <w:rFonts w:ascii="Arial" w:eastAsia="Calibri" w:hAnsi="Arial" w:cs="Arial"/>
          <w:lang w:val="es-MX"/>
        </w:rPr>
        <w:t>colombianos</w:t>
      </w:r>
      <w:r w:rsidR="00FE5775" w:rsidRPr="00407259">
        <w:rPr>
          <w:rFonts w:ascii="Arial" w:eastAsia="Arial," w:hAnsi="Arial" w:cs="Arial"/>
          <w:lang w:val="es-MX"/>
        </w:rPr>
        <w:t xml:space="preserve"> </w:t>
      </w:r>
      <w:r w:rsidR="00FE5775" w:rsidRPr="00407259">
        <w:rPr>
          <w:rFonts w:ascii="Arial" w:eastAsia="Calibri" w:hAnsi="Arial" w:cs="Arial"/>
          <w:lang w:val="es-MX"/>
        </w:rPr>
        <w:t>liquidados</w:t>
      </w:r>
      <w:r w:rsidR="00FE5775" w:rsidRPr="00407259">
        <w:rPr>
          <w:rFonts w:ascii="Arial" w:eastAsia="Arial," w:hAnsi="Arial" w:cs="Arial"/>
          <w:lang w:val="es-MX"/>
        </w:rPr>
        <w:t xml:space="preserve"> </w:t>
      </w:r>
      <w:r w:rsidR="00FE5775" w:rsidRPr="00407259">
        <w:rPr>
          <w:rFonts w:ascii="Arial" w:eastAsia="Calibri" w:hAnsi="Arial" w:cs="Arial"/>
          <w:lang w:val="es-MX"/>
        </w:rPr>
        <w:t>con</w:t>
      </w:r>
      <w:r w:rsidR="00FE5775" w:rsidRPr="00407259">
        <w:rPr>
          <w:rFonts w:ascii="Arial" w:eastAsia="Arial," w:hAnsi="Arial" w:cs="Arial"/>
          <w:lang w:val="es-MX"/>
        </w:rPr>
        <w:t xml:space="preserve"> </w:t>
      </w:r>
      <w:r w:rsidR="00FE5775" w:rsidRPr="00407259">
        <w:rPr>
          <w:rFonts w:ascii="Arial" w:eastAsia="Calibri" w:hAnsi="Arial" w:cs="Arial"/>
          <w:lang w:val="es-MX"/>
        </w:rPr>
        <w:t>el</w:t>
      </w:r>
      <w:r w:rsidR="00FE5775" w:rsidRPr="00407259">
        <w:rPr>
          <w:rFonts w:ascii="Arial" w:eastAsia="Arial," w:hAnsi="Arial" w:cs="Arial"/>
          <w:lang w:val="es-MX"/>
        </w:rPr>
        <w:t xml:space="preserve"> </w:t>
      </w:r>
      <w:r w:rsidR="00FE5775" w:rsidRPr="00407259">
        <w:rPr>
          <w:rFonts w:ascii="Arial" w:eastAsia="Calibri" w:hAnsi="Arial" w:cs="Arial"/>
          <w:lang w:val="es-MX"/>
        </w:rPr>
        <w:t>SMMLV.</w:t>
      </w:r>
    </w:p>
    <w:p w14:paraId="6EEE6B96" w14:textId="2AED8B47" w:rsidR="00FE5775" w:rsidRPr="00407259" w:rsidRDefault="00FE5775" w:rsidP="00FE5775">
      <w:pPr>
        <w:spacing w:before="120" w:after="120" w:line="276" w:lineRule="auto"/>
        <w:ind w:firstLine="708"/>
        <w:jc w:val="both"/>
        <w:rPr>
          <w:rFonts w:ascii="Arial" w:hAnsi="Arial" w:cs="Arial"/>
        </w:rPr>
      </w:pPr>
      <w:r w:rsidRPr="00407259">
        <w:rPr>
          <w:rFonts w:ascii="Arial" w:hAnsi="Arial" w:cs="Arial"/>
        </w:rPr>
        <w:t xml:space="preserve">Ahora bien, si al verificarse que el proponente no </w:t>
      </w:r>
      <w:r w:rsidR="00D0014B">
        <w:rPr>
          <w:rFonts w:ascii="Arial" w:hAnsi="Arial" w:cs="Arial"/>
        </w:rPr>
        <w:t>aportó dicho Formato 5</w:t>
      </w:r>
      <w:r w:rsidR="004E6617">
        <w:rPr>
          <w:rFonts w:ascii="Arial" w:hAnsi="Arial" w:cs="Arial"/>
        </w:rPr>
        <w:t xml:space="preserve"> y efectivamente cuenta con contratos en ejecución antes del cierre del proceso de selección que</w:t>
      </w:r>
      <w:r w:rsidRPr="00407259">
        <w:rPr>
          <w:rFonts w:ascii="Arial" w:hAnsi="Arial" w:cs="Arial"/>
        </w:rPr>
        <w:t xml:space="preserve"> afecte su capacidad residual, la entidad no estará en posición de solicitar aclaraciones, o acudir al régimen de subsanabilidad de ofertas. Esto en la medida que tal circunstancia constituye </w:t>
      </w:r>
      <w:r w:rsidR="00091C09">
        <w:rPr>
          <w:rFonts w:ascii="Arial" w:hAnsi="Arial" w:cs="Arial"/>
        </w:rPr>
        <w:t xml:space="preserve">por si sola la configuración de </w:t>
      </w:r>
      <w:r w:rsidRPr="00407259">
        <w:rPr>
          <w:rFonts w:ascii="Arial" w:hAnsi="Arial" w:cs="Arial"/>
        </w:rPr>
        <w:t>una causal de rechazo en los términos de</w:t>
      </w:r>
      <w:r w:rsidR="003C22C0">
        <w:rPr>
          <w:rFonts w:ascii="Arial" w:hAnsi="Arial" w:cs="Arial"/>
        </w:rPr>
        <w:t>l</w:t>
      </w:r>
      <w:r w:rsidRPr="00407259">
        <w:rPr>
          <w:rFonts w:ascii="Arial" w:hAnsi="Arial" w:cs="Arial"/>
        </w:rPr>
        <w:t xml:space="preserve"> </w:t>
      </w:r>
      <w:r w:rsidR="003C22C0" w:rsidRPr="00407259">
        <w:rPr>
          <w:rFonts w:ascii="Arial" w:hAnsi="Arial" w:cs="Arial"/>
        </w:rPr>
        <w:t>literal</w:t>
      </w:r>
      <w:r w:rsidR="003C22C0">
        <w:rPr>
          <w:rFonts w:ascii="Arial" w:hAnsi="Arial" w:cs="Arial"/>
        </w:rPr>
        <w:t xml:space="preserve"> </w:t>
      </w:r>
      <w:r w:rsidR="003C22C0" w:rsidRPr="00407259">
        <w:rPr>
          <w:rFonts w:ascii="Arial" w:hAnsi="Arial" w:cs="Arial"/>
        </w:rPr>
        <w:t>Z</w:t>
      </w:r>
      <w:r w:rsidRPr="00407259">
        <w:rPr>
          <w:rFonts w:ascii="Arial" w:hAnsi="Arial" w:cs="Arial"/>
        </w:rPr>
        <w:t xml:space="preserve"> del numeral 1.15 del documento base, l</w:t>
      </w:r>
      <w:r w:rsidR="003C22C0">
        <w:rPr>
          <w:rFonts w:ascii="Arial" w:hAnsi="Arial" w:cs="Arial"/>
        </w:rPr>
        <w:t>a</w:t>
      </w:r>
      <w:r w:rsidRPr="00407259">
        <w:rPr>
          <w:rFonts w:ascii="Arial" w:hAnsi="Arial" w:cs="Arial"/>
        </w:rPr>
        <w:t xml:space="preserve"> cual deberá</w:t>
      </w:r>
      <w:r w:rsidR="003C22C0">
        <w:rPr>
          <w:rFonts w:ascii="Arial" w:hAnsi="Arial" w:cs="Arial"/>
        </w:rPr>
        <w:t xml:space="preserve"> ser</w:t>
      </w:r>
      <w:r w:rsidRPr="00407259">
        <w:rPr>
          <w:rFonts w:ascii="Arial" w:hAnsi="Arial" w:cs="Arial"/>
        </w:rPr>
        <w:t xml:space="preserve"> analiza</w:t>
      </w:r>
      <w:r w:rsidR="003C22C0">
        <w:rPr>
          <w:rFonts w:ascii="Arial" w:hAnsi="Arial" w:cs="Arial"/>
        </w:rPr>
        <w:t>da</w:t>
      </w:r>
      <w:r w:rsidRPr="00407259">
        <w:rPr>
          <w:rFonts w:ascii="Arial" w:hAnsi="Arial" w:cs="Arial"/>
        </w:rPr>
        <w:t xml:space="preserve">, caso a caso, </w:t>
      </w:r>
      <w:r w:rsidR="003C22C0">
        <w:rPr>
          <w:rFonts w:ascii="Arial" w:hAnsi="Arial" w:cs="Arial"/>
        </w:rPr>
        <w:t xml:space="preserve">por </w:t>
      </w:r>
      <w:r w:rsidRPr="00407259">
        <w:rPr>
          <w:rFonts w:ascii="Arial" w:hAnsi="Arial" w:cs="Arial"/>
        </w:rPr>
        <w:t>las entidades contratantes conforme a los parámetros antes mencionados.</w:t>
      </w:r>
    </w:p>
    <w:p w14:paraId="4BA24E3B" w14:textId="77777777" w:rsidR="00FE5775" w:rsidRPr="00407259" w:rsidRDefault="00FE5775" w:rsidP="00FE5775">
      <w:pPr>
        <w:spacing w:after="0" w:line="276" w:lineRule="auto"/>
        <w:jc w:val="both"/>
        <w:rPr>
          <w:rFonts w:ascii="Arial" w:hAnsi="Arial" w:cs="Arial"/>
        </w:rPr>
      </w:pPr>
      <w:r w:rsidRPr="00407259">
        <w:rPr>
          <w:rFonts w:ascii="Arial" w:hAnsi="Arial" w:cs="Arial"/>
        </w:rPr>
        <w:tab/>
        <w:t xml:space="preserve">Sin perjuicio de lo anterior,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w:t>
      </w:r>
    </w:p>
    <w:bookmarkEnd w:id="14"/>
    <w:p w14:paraId="2CA00746" w14:textId="77777777" w:rsidR="00FE5775" w:rsidRPr="00407259" w:rsidRDefault="00FE5775" w:rsidP="00FE5775">
      <w:pPr>
        <w:tabs>
          <w:tab w:val="left" w:pos="1358"/>
        </w:tabs>
        <w:spacing w:after="0" w:line="240" w:lineRule="auto"/>
        <w:ind w:right="709"/>
        <w:jc w:val="both"/>
        <w:rPr>
          <w:rFonts w:ascii="Arial" w:hAnsi="Arial" w:cs="Arial"/>
          <w:sz w:val="21"/>
          <w:szCs w:val="21"/>
        </w:rPr>
      </w:pPr>
      <w:r w:rsidRPr="00407259">
        <w:rPr>
          <w:rFonts w:ascii="Arial" w:hAnsi="Arial" w:cs="Arial"/>
          <w:sz w:val="21"/>
          <w:szCs w:val="21"/>
        </w:rPr>
        <w:lastRenderedPageBreak/>
        <w:t xml:space="preserve"> </w:t>
      </w:r>
      <w:r w:rsidRPr="00407259">
        <w:rPr>
          <w:rFonts w:ascii="Arial" w:hAnsi="Arial" w:cs="Arial"/>
          <w:sz w:val="21"/>
          <w:szCs w:val="21"/>
        </w:rPr>
        <w:tab/>
      </w:r>
    </w:p>
    <w:p w14:paraId="7E22B24B" w14:textId="77777777" w:rsidR="00FE5775" w:rsidRPr="00407259" w:rsidRDefault="00FE5775" w:rsidP="00FE5775">
      <w:pPr>
        <w:spacing w:line="276" w:lineRule="auto"/>
        <w:jc w:val="both"/>
        <w:rPr>
          <w:rFonts w:ascii="Arial" w:hAnsi="Arial" w:cs="Arial"/>
          <w:lang w:val="es-ES_tradnl"/>
        </w:rPr>
      </w:pPr>
      <w:r w:rsidRPr="00407259">
        <w:rPr>
          <w:rFonts w:ascii="Arial" w:hAnsi="Arial" w:cs="Arial"/>
          <w:lang w:val="es-ES_tradnl"/>
        </w:rPr>
        <w:t>Este concepto tiene el alcance previsto en el artículo 28 del Código de Procedimiento Administrativo y de lo Contencioso Administrativo y las expresiones aquí utilizadas con mayúscula inicial deben ser entendidas con el significado que les otorga el artículo 2.2.1.1.1.3.1. del Decreto 1082 de 2015.</w:t>
      </w:r>
    </w:p>
    <w:p w14:paraId="141ED758" w14:textId="77777777" w:rsidR="00FE5775" w:rsidRPr="00407259" w:rsidRDefault="00FE5775" w:rsidP="00FE5775">
      <w:pPr>
        <w:spacing w:after="0" w:line="276" w:lineRule="auto"/>
        <w:contextualSpacing/>
        <w:jc w:val="both"/>
        <w:rPr>
          <w:rFonts w:ascii="Arial" w:eastAsia="Calibri" w:hAnsi="Arial" w:cs="Arial"/>
          <w:lang w:eastAsia="es-MX"/>
        </w:rPr>
      </w:pPr>
    </w:p>
    <w:p w14:paraId="7E37F440" w14:textId="77777777" w:rsidR="00FE5775" w:rsidRDefault="00FE5775" w:rsidP="00FE5775">
      <w:pPr>
        <w:spacing w:after="0" w:line="276" w:lineRule="auto"/>
        <w:rPr>
          <w:rFonts w:ascii="Arial" w:eastAsia="Times New Roman" w:hAnsi="Arial" w:cs="Arial"/>
          <w:lang w:eastAsia="es-CO"/>
        </w:rPr>
      </w:pPr>
      <w:r w:rsidRPr="00407259">
        <w:rPr>
          <w:rFonts w:ascii="Arial" w:eastAsia="Times New Roman" w:hAnsi="Arial" w:cs="Arial"/>
          <w:lang w:eastAsia="es-CO"/>
        </w:rPr>
        <w:t>Atentamente,</w:t>
      </w:r>
    </w:p>
    <w:p w14:paraId="6BF7A18E" w14:textId="0D118C41" w:rsidR="00A409DC" w:rsidRPr="00EF69F0" w:rsidRDefault="00FF4FF6" w:rsidP="00A409DC">
      <w:pPr>
        <w:spacing w:after="0" w:line="276" w:lineRule="auto"/>
        <w:jc w:val="center"/>
      </w:pPr>
      <w:r>
        <w:rPr>
          <w:noProof/>
        </w:rPr>
        <w:drawing>
          <wp:inline distT="0" distB="0" distL="0" distR="0" wp14:anchorId="753E5421" wp14:editId="732E70DE">
            <wp:extent cx="3150870" cy="1209675"/>
            <wp:effectExtent l="0" t="0" r="0" b="9525"/>
            <wp:docPr id="106633725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37258" name="Imagen 1" descr="Texto&#10;&#10;Descripción generada automáticament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0870" cy="1209675"/>
                    </a:xfrm>
                    <a:prstGeom prst="rect">
                      <a:avLst/>
                    </a:prstGeom>
                    <a:noFill/>
                    <a:ln>
                      <a:noFill/>
                    </a:ln>
                  </pic:spPr>
                </pic:pic>
              </a:graphicData>
            </a:graphic>
          </wp:inline>
        </w:drawing>
      </w:r>
    </w:p>
    <w:p w14:paraId="15FDA8C5" w14:textId="77777777" w:rsidR="00A409DC" w:rsidRPr="00EF69F0" w:rsidRDefault="00A409DC" w:rsidP="00A409DC">
      <w:pPr>
        <w:spacing w:after="0" w:line="276" w:lineRule="auto"/>
        <w:jc w:val="center"/>
        <w:rPr>
          <w:rFonts w:ascii="Arial" w:eastAsia="Times New Roman" w:hAnsi="Arial" w:cs="Arial"/>
          <w:color w:val="000000"/>
          <w:sz w:val="16"/>
          <w:szCs w:val="16"/>
          <w:lang w:val="es-ES_tradnl" w:eastAsia="es-CO"/>
        </w:rPr>
      </w:pP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409DC" w:rsidRPr="00EF69F0" w14:paraId="7140E9CF" w14:textId="77777777" w:rsidTr="00415AC1">
        <w:trPr>
          <w:trHeight w:val="160"/>
        </w:trPr>
        <w:tc>
          <w:tcPr>
            <w:tcW w:w="812" w:type="dxa"/>
            <w:vAlign w:val="center"/>
            <w:hideMark/>
          </w:tcPr>
          <w:p w14:paraId="3F403B7F" w14:textId="77777777" w:rsidR="00A409DC" w:rsidRPr="00EF69F0" w:rsidRDefault="00A409DC"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Elaboró:</w:t>
            </w:r>
          </w:p>
        </w:tc>
        <w:tc>
          <w:tcPr>
            <w:tcW w:w="4413" w:type="dxa"/>
            <w:tcBorders>
              <w:top w:val="nil"/>
              <w:left w:val="nil"/>
              <w:bottom w:val="dotted" w:sz="4" w:space="0" w:color="7F7F7F"/>
              <w:right w:val="nil"/>
            </w:tcBorders>
            <w:vAlign w:val="center"/>
            <w:hideMark/>
          </w:tcPr>
          <w:p w14:paraId="1E375E3E" w14:textId="77777777" w:rsidR="00A409DC" w:rsidRPr="00EF69F0" w:rsidRDefault="00A409DC" w:rsidP="00415AC1">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Any Alejandra Tovar Castillo</w:t>
            </w:r>
          </w:p>
          <w:p w14:paraId="4D27219A" w14:textId="77777777" w:rsidR="00A409DC" w:rsidRPr="00EF69F0" w:rsidRDefault="00A409DC" w:rsidP="00415AC1">
            <w:pPr>
              <w:jc w:val="both"/>
              <w:rPr>
                <w:rFonts w:ascii="Arial" w:eastAsia="Times New Roman" w:hAnsi="Arial" w:cs="Arial"/>
                <w:color w:val="000000"/>
                <w:sz w:val="16"/>
                <w:szCs w:val="16"/>
                <w:lang w:val="es-ES_tradnl" w:eastAsia="es-ES"/>
              </w:rPr>
            </w:pPr>
            <w:r>
              <w:rPr>
                <w:rFonts w:ascii="Arial" w:eastAsia="Times New Roman" w:hAnsi="Arial" w:cs="Arial"/>
                <w:color w:val="000000"/>
                <w:sz w:val="16"/>
                <w:szCs w:val="16"/>
                <w:lang w:val="es-ES_tradnl" w:eastAsia="es-ES"/>
              </w:rPr>
              <w:t>Contratista de la Subdirección de Gestión Contractual</w:t>
            </w:r>
          </w:p>
        </w:tc>
      </w:tr>
      <w:tr w:rsidR="00A409DC" w:rsidRPr="00EF69F0" w14:paraId="628655E3" w14:textId="77777777" w:rsidTr="00415AC1">
        <w:trPr>
          <w:trHeight w:val="330"/>
        </w:trPr>
        <w:tc>
          <w:tcPr>
            <w:tcW w:w="812" w:type="dxa"/>
            <w:vAlign w:val="center"/>
            <w:hideMark/>
          </w:tcPr>
          <w:p w14:paraId="6256945F" w14:textId="77777777" w:rsidR="00A409DC" w:rsidRPr="00EF69F0" w:rsidRDefault="00A409DC"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Revisó:</w:t>
            </w:r>
          </w:p>
        </w:tc>
        <w:tc>
          <w:tcPr>
            <w:tcW w:w="4413" w:type="dxa"/>
            <w:tcBorders>
              <w:top w:val="dotted" w:sz="4" w:space="0" w:color="7F7F7F"/>
              <w:left w:val="nil"/>
              <w:bottom w:val="dotted" w:sz="4" w:space="0" w:color="7F7F7F"/>
              <w:right w:val="nil"/>
            </w:tcBorders>
            <w:vAlign w:val="center"/>
            <w:hideMark/>
          </w:tcPr>
          <w:p w14:paraId="2E86E930" w14:textId="77777777" w:rsidR="00A409DC" w:rsidRPr="00EF69F0" w:rsidRDefault="00A409DC" w:rsidP="00415AC1">
            <w:pPr>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Juan David Cárdenas Cabeza</w:t>
            </w:r>
          </w:p>
          <w:p w14:paraId="08ACA6C4" w14:textId="77777777" w:rsidR="00A409DC" w:rsidRPr="00EF69F0" w:rsidRDefault="00A409DC" w:rsidP="00415AC1">
            <w:pPr>
              <w:jc w:val="both"/>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Contratista</w:t>
            </w:r>
            <w:r w:rsidRPr="00EF69F0">
              <w:rPr>
                <w:rFonts w:ascii="Arial" w:eastAsia="Times New Roman" w:hAnsi="Arial" w:cs="Arial"/>
                <w:color w:val="000000"/>
                <w:sz w:val="16"/>
                <w:szCs w:val="16"/>
                <w:lang w:eastAsia="es-ES"/>
              </w:rPr>
              <w:t xml:space="preserve"> de la Subdirección de Gestión Contractual</w:t>
            </w:r>
          </w:p>
        </w:tc>
      </w:tr>
      <w:tr w:rsidR="00A409DC" w:rsidRPr="00EF69F0" w14:paraId="2336199F" w14:textId="77777777" w:rsidTr="00415AC1">
        <w:trPr>
          <w:trHeight w:val="300"/>
        </w:trPr>
        <w:tc>
          <w:tcPr>
            <w:tcW w:w="812" w:type="dxa"/>
            <w:vAlign w:val="center"/>
            <w:hideMark/>
          </w:tcPr>
          <w:p w14:paraId="5699D781" w14:textId="77777777" w:rsidR="00A409DC" w:rsidRPr="00EF69F0" w:rsidRDefault="00A409DC"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val="es-ES_tradnl" w:eastAsia="es-ES"/>
              </w:rPr>
              <w:t>Aprobó:</w:t>
            </w:r>
          </w:p>
        </w:tc>
        <w:tc>
          <w:tcPr>
            <w:tcW w:w="4413" w:type="dxa"/>
            <w:tcBorders>
              <w:top w:val="dotted" w:sz="4" w:space="0" w:color="7F7F7F"/>
              <w:left w:val="nil"/>
              <w:bottom w:val="dotted" w:sz="4" w:space="0" w:color="7F7F7F"/>
              <w:right w:val="nil"/>
            </w:tcBorders>
            <w:vAlign w:val="center"/>
            <w:hideMark/>
          </w:tcPr>
          <w:p w14:paraId="66ED5B3C" w14:textId="77777777" w:rsidR="00A409DC" w:rsidRPr="00EF69F0" w:rsidRDefault="00A409DC" w:rsidP="00415AC1">
            <w:pPr>
              <w:jc w:val="both"/>
              <w:rPr>
                <w:rFonts w:ascii="Arial" w:eastAsia="Times New Roman" w:hAnsi="Arial" w:cs="Arial"/>
                <w:color w:val="000000"/>
                <w:sz w:val="16"/>
                <w:szCs w:val="16"/>
                <w:lang w:eastAsia="es-ES"/>
              </w:rPr>
            </w:pPr>
            <w:r w:rsidRPr="00EF69F0">
              <w:rPr>
                <w:rFonts w:ascii="Arial" w:eastAsia="Times New Roman" w:hAnsi="Arial" w:cs="Arial"/>
                <w:color w:val="000000"/>
                <w:sz w:val="16"/>
                <w:szCs w:val="16"/>
                <w:lang w:eastAsia="es-ES"/>
              </w:rPr>
              <w:t>Nohelia del Carmen Zawady Palacio</w:t>
            </w:r>
          </w:p>
          <w:p w14:paraId="3AD1F1CD" w14:textId="77777777" w:rsidR="00A409DC" w:rsidRPr="00EF69F0" w:rsidRDefault="00A409DC" w:rsidP="00415AC1">
            <w:pPr>
              <w:jc w:val="both"/>
              <w:rPr>
                <w:rFonts w:ascii="Arial" w:eastAsia="Times New Roman" w:hAnsi="Arial" w:cs="Arial"/>
                <w:color w:val="000000"/>
                <w:sz w:val="16"/>
                <w:szCs w:val="16"/>
                <w:lang w:val="es-ES_tradnl" w:eastAsia="es-ES"/>
              </w:rPr>
            </w:pPr>
            <w:r w:rsidRPr="00EF69F0">
              <w:rPr>
                <w:rFonts w:ascii="Arial" w:eastAsia="Times New Roman" w:hAnsi="Arial" w:cs="Arial"/>
                <w:color w:val="000000"/>
                <w:sz w:val="16"/>
                <w:szCs w:val="16"/>
                <w:lang w:eastAsia="es-ES"/>
              </w:rPr>
              <w:t>Subdirectora de Gestión Contractual</w:t>
            </w:r>
          </w:p>
        </w:tc>
      </w:tr>
    </w:tbl>
    <w:p w14:paraId="13421692" w14:textId="77777777" w:rsidR="00A409DC" w:rsidRPr="00407259" w:rsidRDefault="00A409DC" w:rsidP="00FE5775">
      <w:pPr>
        <w:spacing w:after="0" w:line="276" w:lineRule="auto"/>
        <w:rPr>
          <w:rFonts w:ascii="Arial" w:eastAsia="Times New Roman" w:hAnsi="Arial" w:cs="Arial"/>
          <w:lang w:eastAsia="es-CO"/>
        </w:rPr>
      </w:pPr>
    </w:p>
    <w:p w14:paraId="0F293BF4" w14:textId="0F6FB6C1" w:rsidR="00127233" w:rsidRPr="006219F8" w:rsidRDefault="00127233" w:rsidP="00FE5775">
      <w:pPr>
        <w:spacing w:after="0" w:line="240" w:lineRule="auto"/>
        <w:jc w:val="right"/>
        <w:textAlignment w:val="baseline"/>
        <w:rPr>
          <w:lang w:val="es-MX"/>
        </w:rPr>
      </w:pPr>
    </w:p>
    <w:sectPr w:rsidR="00127233" w:rsidRPr="006219F8" w:rsidSect="0039439C">
      <w:headerReference w:type="default" r:id="rId16"/>
      <w:footerReference w:type="default" r:id="rId17"/>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45BA" w14:textId="77777777" w:rsidR="0043376D" w:rsidRDefault="0043376D" w:rsidP="004A1847">
      <w:pPr>
        <w:spacing w:after="0" w:line="240" w:lineRule="auto"/>
      </w:pPr>
      <w:r>
        <w:separator/>
      </w:r>
    </w:p>
  </w:endnote>
  <w:endnote w:type="continuationSeparator" w:id="0">
    <w:p w14:paraId="70A6C328" w14:textId="77777777" w:rsidR="0043376D" w:rsidRDefault="0043376D" w:rsidP="004A1847">
      <w:pPr>
        <w:spacing w:after="0" w:line="240" w:lineRule="auto"/>
      </w:pPr>
      <w:r>
        <w:continuationSeparator/>
      </w:r>
    </w:p>
  </w:endnote>
  <w:endnote w:type="continuationNotice" w:id="1">
    <w:p w14:paraId="4E8FD727" w14:textId="77777777" w:rsidR="0043376D" w:rsidRDefault="00433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3596" w14:textId="77777777" w:rsidR="0043376D" w:rsidRDefault="0043376D" w:rsidP="004A1847">
      <w:pPr>
        <w:spacing w:after="0" w:line="240" w:lineRule="auto"/>
      </w:pPr>
      <w:r>
        <w:separator/>
      </w:r>
    </w:p>
  </w:footnote>
  <w:footnote w:type="continuationSeparator" w:id="0">
    <w:p w14:paraId="08EC1FB9" w14:textId="77777777" w:rsidR="0043376D" w:rsidRDefault="0043376D" w:rsidP="004A1847">
      <w:pPr>
        <w:spacing w:after="0" w:line="240" w:lineRule="auto"/>
      </w:pPr>
      <w:r>
        <w:continuationSeparator/>
      </w:r>
    </w:p>
  </w:footnote>
  <w:footnote w:type="continuationNotice" w:id="1">
    <w:p w14:paraId="71029D44" w14:textId="77777777" w:rsidR="0043376D" w:rsidRDefault="0043376D">
      <w:pPr>
        <w:spacing w:after="0" w:line="240" w:lineRule="auto"/>
      </w:pPr>
    </w:p>
  </w:footnote>
  <w:footnote w:id="2">
    <w:p w14:paraId="5FB8401D" w14:textId="77777777" w:rsidR="00A86DD2" w:rsidRPr="0069675D" w:rsidRDefault="00A86DD2" w:rsidP="00A86DD2">
      <w:pPr>
        <w:pStyle w:val="Textonotapie"/>
        <w:ind w:firstLine="708"/>
        <w:jc w:val="both"/>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69675D">
        <w:rPr>
          <w:rFonts w:ascii="Arial" w:hAnsi="Arial" w:cs="Arial"/>
          <w:i/>
          <w:iCs/>
          <w:sz w:val="18"/>
          <w:szCs w:val="18"/>
        </w:rPr>
        <w:t xml:space="preserve">ibidem </w:t>
      </w:r>
      <w:r w:rsidRPr="0069675D">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p w14:paraId="3A8073A6" w14:textId="77777777" w:rsidR="00A86DD2" w:rsidRPr="0069675D" w:rsidRDefault="00A86DD2" w:rsidP="00A86DD2">
      <w:pPr>
        <w:pStyle w:val="Textonotapie"/>
        <w:ind w:firstLine="708"/>
        <w:jc w:val="both"/>
        <w:rPr>
          <w:rFonts w:ascii="Arial" w:hAnsi="Arial" w:cs="Arial"/>
          <w:sz w:val="18"/>
          <w:szCs w:val="18"/>
          <w:lang w:val="es-ES"/>
        </w:rPr>
      </w:pPr>
    </w:p>
  </w:footnote>
  <w:footnote w:id="3">
    <w:p w14:paraId="775B0014" w14:textId="77777777" w:rsidR="008A1F2D" w:rsidRPr="0069675D" w:rsidRDefault="008A1F2D" w:rsidP="008A1F2D">
      <w:pPr>
        <w:pStyle w:val="Textonotapie"/>
        <w:ind w:firstLine="709"/>
        <w:contextualSpacing/>
        <w:jc w:val="both"/>
        <w:rPr>
          <w:rFonts w:ascii="Arial" w:hAnsi="Arial" w:cs="Arial"/>
          <w:sz w:val="18"/>
          <w:szCs w:val="18"/>
          <w:lang w:val="es-CO"/>
        </w:rPr>
      </w:pPr>
      <w:r w:rsidRPr="0069675D">
        <w:rPr>
          <w:rStyle w:val="Refdenotaalpie"/>
          <w:rFonts w:ascii="Arial" w:hAnsi="Arial" w:cs="Arial"/>
          <w:sz w:val="18"/>
          <w:szCs w:val="18"/>
        </w:rPr>
        <w:footnoteRef/>
      </w:r>
      <w:r w:rsidRPr="0069675D">
        <w:rPr>
          <w:rFonts w:ascii="Arial" w:hAnsi="Arial" w:cs="Arial"/>
          <w:sz w:val="18"/>
          <w:szCs w:val="18"/>
        </w:rPr>
        <w:t xml:space="preserve"> </w:t>
      </w:r>
      <w:r w:rsidRPr="0069675D">
        <w:rPr>
          <w:rFonts w:ascii="Arial" w:hAnsi="Arial" w:cs="Arial"/>
          <w:sz w:val="18"/>
          <w:szCs w:val="18"/>
          <w:lang w:val="es-CO"/>
        </w:rPr>
        <w:t xml:space="preserve">Estos conceptos pueden ser consultados en: </w:t>
      </w:r>
      <w:hyperlink r:id="rId1" w:history="1">
        <w:r w:rsidRPr="0069675D">
          <w:rPr>
            <w:rStyle w:val="Hipervnculo"/>
            <w:rFonts w:ascii="Arial" w:hAnsi="Arial" w:cs="Arial"/>
            <w:sz w:val="18"/>
            <w:szCs w:val="18"/>
          </w:rPr>
          <w:t>https://relatoria.colombiacompra.gov.co/busqueda/conceptos#</w:t>
        </w:r>
      </w:hyperlink>
    </w:p>
    <w:p w14:paraId="791EF6C6" w14:textId="77777777" w:rsidR="008A1F2D" w:rsidRPr="0069675D" w:rsidRDefault="008A1F2D" w:rsidP="008A1F2D">
      <w:pPr>
        <w:pStyle w:val="Textonotapie"/>
        <w:ind w:firstLine="709"/>
        <w:contextualSpacing/>
        <w:jc w:val="both"/>
        <w:rPr>
          <w:rFonts w:ascii="Arial" w:hAnsi="Arial" w:cs="Arial"/>
          <w:sz w:val="18"/>
          <w:szCs w:val="18"/>
          <w:lang w:val="es-CO"/>
        </w:rPr>
      </w:pPr>
    </w:p>
  </w:footnote>
  <w:footnote w:id="4">
    <w:p w14:paraId="566365EC" w14:textId="77777777" w:rsidR="00FE5775" w:rsidRPr="0069675D" w:rsidRDefault="00FE5775" w:rsidP="00FE5775">
      <w:pPr>
        <w:pStyle w:val="Textonotapie"/>
        <w:spacing w:after="120"/>
        <w:ind w:firstLine="709"/>
        <w:jc w:val="both"/>
        <w:rPr>
          <w:rFonts w:ascii="Arial" w:hAnsi="Arial" w:cs="Arial"/>
          <w:color w:val="000000"/>
          <w:sz w:val="18"/>
          <w:szCs w:val="18"/>
          <w:lang w:val="es-CO"/>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footnote>
  <w:footnote w:id="5">
    <w:p w14:paraId="3E49FB88" w14:textId="77777777" w:rsidR="00FE5775" w:rsidRPr="0069675D" w:rsidRDefault="00FE5775" w:rsidP="00FE5775">
      <w:pPr>
        <w:pStyle w:val="Textonotapie"/>
        <w:spacing w:after="120"/>
        <w:ind w:firstLine="709"/>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w:t>
      </w:r>
      <w:r w:rsidRPr="0069675D">
        <w:rPr>
          <w:rFonts w:ascii="Arial" w:hAnsi="Arial" w:cs="Arial"/>
          <w:color w:val="000000"/>
          <w:sz w:val="18"/>
          <w:szCs w:val="18"/>
          <w:lang w:val="es-CO"/>
        </w:rPr>
        <w:t xml:space="preserve">Ley 1882 de 2018: “Artículo 4. </w:t>
      </w:r>
      <w:r w:rsidRPr="0069675D">
        <w:rPr>
          <w:rFonts w:ascii="Arial" w:hAnsi="Arial" w:cs="Arial"/>
          <w:color w:val="000000"/>
          <w:sz w:val="18"/>
          <w:szCs w:val="18"/>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743605B" w14:textId="77777777" w:rsidR="00FE5775" w:rsidRPr="0069675D" w:rsidRDefault="00FE5775" w:rsidP="00FE5775">
      <w:pPr>
        <w:pStyle w:val="Textonotapie"/>
        <w:spacing w:after="120"/>
        <w:ind w:firstLine="709"/>
        <w:jc w:val="both"/>
        <w:rPr>
          <w:rFonts w:ascii="Arial" w:hAnsi="Arial" w:cs="Arial"/>
          <w:color w:val="000000"/>
          <w:sz w:val="18"/>
          <w:szCs w:val="18"/>
          <w:lang w:val="es-CO"/>
        </w:rPr>
      </w:pPr>
      <w:r w:rsidRPr="0069675D">
        <w:rPr>
          <w:rFonts w:ascii="Arial" w:hAnsi="Arial" w:cs="Arial"/>
          <w:color w:val="000000"/>
          <w:sz w:val="18"/>
          <w:szCs w:val="18"/>
          <w:lang w:val="es-CO"/>
        </w:rPr>
        <w:t>La facultad de adoptar documentos tipo la tendrá el Gobierno nacional, cuando lo considere necesario, en relación con otros contratos o procesos de selección.</w:t>
      </w:r>
    </w:p>
    <w:p w14:paraId="2ED455A2" w14:textId="77777777" w:rsidR="00FE5775" w:rsidRPr="0069675D" w:rsidRDefault="00FE5775" w:rsidP="00FE5775">
      <w:pPr>
        <w:pStyle w:val="Textonotapie"/>
        <w:spacing w:after="120"/>
        <w:ind w:firstLine="709"/>
        <w:jc w:val="both"/>
        <w:rPr>
          <w:rFonts w:ascii="Arial" w:hAnsi="Arial" w:cs="Arial"/>
          <w:color w:val="000000"/>
          <w:sz w:val="18"/>
          <w:szCs w:val="18"/>
          <w:lang w:val="es-CO"/>
        </w:rPr>
      </w:pPr>
      <w:r w:rsidRPr="0069675D">
        <w:rPr>
          <w:rFonts w:ascii="Arial" w:hAnsi="Arial" w:cs="Arial"/>
          <w:color w:val="000000"/>
          <w:sz w:val="18"/>
          <w:szCs w:val="18"/>
          <w:lang w:val="es-CO"/>
        </w:rPr>
        <w:t>Los pliegos tipo se adoptarán por categorías de acuerdo con la cuantía de la contratación, según la reglamentación que expida el Gobierno nacional”.</w:t>
      </w:r>
    </w:p>
  </w:footnote>
  <w:footnote w:id="6">
    <w:p w14:paraId="22E5E1C6" w14:textId="77777777" w:rsidR="00FE5775" w:rsidRPr="0069675D" w:rsidRDefault="00FE5775" w:rsidP="00FE5775">
      <w:pPr>
        <w:pStyle w:val="Textonotapie"/>
        <w:spacing w:after="120"/>
        <w:ind w:firstLine="709"/>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footnote>
  <w:footnote w:id="7">
    <w:p w14:paraId="68132C10"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“ARTÍCULO 1o. Modifíquese el artículo 4o de la Ley 1882 de 2018, el cual quedará así:</w:t>
      </w:r>
    </w:p>
    <w:p w14:paraId="428E586D"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Artículo 4o. Adiciónese el siguiente parágrafo al artículo 2o de la Ley 1150 de 2007.</w:t>
      </w:r>
    </w:p>
    <w:p w14:paraId="69E315AD"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PARÁGRAFO 7o.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47C38402"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32AC2BBA"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121640BC" w14:textId="77777777" w:rsidR="00FE5775" w:rsidRPr="0069675D" w:rsidRDefault="00FE5775" w:rsidP="00FE5775">
      <w:pPr>
        <w:pStyle w:val="Textonotapie"/>
        <w:spacing w:after="120"/>
        <w:ind w:firstLine="708"/>
        <w:jc w:val="both"/>
        <w:rPr>
          <w:rFonts w:ascii="Arial" w:hAnsi="Arial" w:cs="Arial"/>
          <w:color w:val="000000"/>
          <w:sz w:val="18"/>
          <w:szCs w:val="18"/>
        </w:rPr>
      </w:pPr>
      <w:r w:rsidRPr="0069675D">
        <w:rPr>
          <w:rFonts w:ascii="Arial" w:hAnsi="Arial" w:cs="Arial"/>
          <w:color w:val="000000"/>
          <w:sz w:val="18"/>
          <w:szCs w:val="18"/>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7ABE2EAE" w14:textId="77777777" w:rsidR="00FE5775" w:rsidRPr="0069675D" w:rsidRDefault="00FE5775" w:rsidP="00FE5775">
      <w:pPr>
        <w:pStyle w:val="Textonotapie"/>
        <w:spacing w:after="120"/>
        <w:ind w:firstLine="708"/>
        <w:jc w:val="both"/>
        <w:rPr>
          <w:rFonts w:ascii="Arial" w:hAnsi="Arial" w:cs="Arial"/>
          <w:color w:val="000000"/>
          <w:sz w:val="18"/>
          <w:szCs w:val="18"/>
          <w:lang w:val="es-CO"/>
        </w:rPr>
      </w:pPr>
      <w:r w:rsidRPr="0069675D">
        <w:rPr>
          <w:rFonts w:ascii="Arial" w:hAnsi="Arial" w:cs="Arial"/>
          <w:color w:val="000000"/>
          <w:sz w:val="18"/>
          <w:szCs w:val="18"/>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8">
    <w:p w14:paraId="661E4AF6" w14:textId="77777777" w:rsidR="00FE5775" w:rsidRPr="0069675D" w:rsidRDefault="00FE5775" w:rsidP="00FE5775">
      <w:pPr>
        <w:spacing w:after="120" w:line="240" w:lineRule="auto"/>
        <w:ind w:right="51" w:firstLine="720"/>
        <w:jc w:val="both"/>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69675D">
        <w:rPr>
          <w:rFonts w:ascii="Arial" w:hAnsi="Arial" w:cs="Arial"/>
          <w:spacing w:val="-14"/>
          <w:sz w:val="18"/>
          <w:szCs w:val="18"/>
        </w:rPr>
        <w:t xml:space="preserve"> </w:t>
      </w:r>
      <w:r w:rsidRPr="0069675D">
        <w:rPr>
          <w:rFonts w:ascii="Arial" w:hAnsi="Arial" w:cs="Arial"/>
          <w:sz w:val="18"/>
          <w:szCs w:val="18"/>
        </w:rPr>
        <w:t>utilizados.</w:t>
      </w:r>
    </w:p>
    <w:p w14:paraId="332E9A68" w14:textId="77777777" w:rsidR="00FE5775" w:rsidRPr="0069675D" w:rsidRDefault="00FE5775" w:rsidP="00FE5775">
      <w:pPr>
        <w:spacing w:after="120" w:line="240" w:lineRule="auto"/>
        <w:ind w:right="51" w:firstLine="708"/>
        <w:jc w:val="both"/>
        <w:rPr>
          <w:rFonts w:ascii="Arial" w:hAnsi="Arial" w:cs="Arial"/>
          <w:sz w:val="18"/>
          <w:szCs w:val="18"/>
        </w:rPr>
      </w:pPr>
      <w:r w:rsidRPr="0069675D">
        <w:rPr>
          <w:rFonts w:ascii="Arial" w:hAnsi="Arial" w:cs="Arial"/>
          <w:sz w:val="18"/>
          <w:szCs w:val="18"/>
        </w:rPr>
        <w:t>[…]</w:t>
      </w:r>
    </w:p>
    <w:p w14:paraId="1DE655DC" w14:textId="77777777" w:rsidR="00FE5775" w:rsidRPr="0069675D" w:rsidRDefault="00FE5775" w:rsidP="00FE5775">
      <w:pPr>
        <w:spacing w:after="120" w:line="240" w:lineRule="auto"/>
        <w:ind w:right="51" w:firstLine="708"/>
        <w:jc w:val="both"/>
        <w:rPr>
          <w:rFonts w:ascii="Arial" w:hAnsi="Arial" w:cs="Arial"/>
          <w:sz w:val="18"/>
          <w:szCs w:val="18"/>
        </w:rPr>
      </w:pPr>
      <w:r w:rsidRPr="0069675D">
        <w:rPr>
          <w:rFonts w:ascii="Arial" w:hAnsi="Arial" w:cs="Arial"/>
          <w:sz w:val="18"/>
          <w:szCs w:val="18"/>
        </w:rPr>
        <w:t>Capacidad Residual o K de Contratación: Aptitud de un oferente para cumplir oportuna y cabalmente con el objeto de un contrato de obra, sin que sus otros compromisos contractuales afecten su habilidad de cumplir con el contrato que está en proceso de selección”.</w:t>
      </w:r>
    </w:p>
  </w:footnote>
  <w:footnote w:id="9">
    <w:p w14:paraId="287896BD" w14:textId="77777777" w:rsidR="00FE5775" w:rsidRPr="0069675D" w:rsidRDefault="00FE5775" w:rsidP="00FE5775">
      <w:pPr>
        <w:widowControl w:val="0"/>
        <w:autoSpaceDE w:val="0"/>
        <w:autoSpaceDN w:val="0"/>
        <w:spacing w:after="120" w:line="240" w:lineRule="auto"/>
        <w:ind w:firstLine="708"/>
        <w:jc w:val="both"/>
        <w:rPr>
          <w:rFonts w:ascii="Arial" w:eastAsia="Arial" w:hAnsi="Arial" w:cs="Arial"/>
          <w:sz w:val="18"/>
          <w:szCs w:val="18"/>
          <w:lang w:val="es-ES" w:eastAsia="es-ES" w:bidi="es-ES"/>
        </w:rPr>
      </w:pPr>
      <w:r w:rsidRPr="0069675D">
        <w:rPr>
          <w:rStyle w:val="Refdenotaalpie"/>
          <w:rFonts w:ascii="Arial" w:hAnsi="Arial" w:cs="Arial"/>
          <w:sz w:val="18"/>
          <w:szCs w:val="18"/>
        </w:rPr>
        <w:footnoteRef/>
      </w:r>
      <w:r w:rsidRPr="0069675D">
        <w:rPr>
          <w:rFonts w:ascii="Arial" w:hAnsi="Arial" w:cs="Arial"/>
          <w:sz w:val="18"/>
          <w:szCs w:val="18"/>
        </w:rPr>
        <w:t xml:space="preserve"> “</w:t>
      </w:r>
      <w:r w:rsidRPr="0069675D">
        <w:rPr>
          <w:rFonts w:ascii="Arial" w:eastAsia="Arial" w:hAnsi="Arial" w:cs="Arial"/>
          <w:sz w:val="18"/>
          <w:szCs w:val="18"/>
          <w:lang w:val="es-ES" w:eastAsia="es-ES" w:bidi="es-ES"/>
        </w:rPr>
        <w:t xml:space="preserve">Artículo 2.2.1.1.1.6.4. Capacidad Residual. El interesado en celebrar contratos de obra pública con Entidades Estatales debe acreditar su Capacidad Residual o K de Contratación con los siguientes documentos: </w:t>
      </w:r>
    </w:p>
    <w:p w14:paraId="353BA4E1" w14:textId="77777777" w:rsidR="00FE5775" w:rsidRPr="0069675D" w:rsidRDefault="00FE5775" w:rsidP="00FE5775">
      <w:pPr>
        <w:widowControl w:val="0"/>
        <w:autoSpaceDE w:val="0"/>
        <w:autoSpaceDN w:val="0"/>
        <w:spacing w:after="120" w:line="240" w:lineRule="auto"/>
        <w:ind w:firstLine="708"/>
        <w:jc w:val="both"/>
        <w:rPr>
          <w:rFonts w:ascii="Arial" w:eastAsia="Arial" w:hAnsi="Arial" w:cs="Arial"/>
          <w:sz w:val="18"/>
          <w:szCs w:val="18"/>
          <w:lang w:val="es-ES" w:eastAsia="es-ES" w:bidi="es-ES"/>
        </w:rPr>
      </w:pPr>
      <w:r w:rsidRPr="0069675D">
        <w:rPr>
          <w:rFonts w:ascii="Arial" w:eastAsia="Arial" w:hAnsi="Arial" w:cs="Arial"/>
          <w:sz w:val="18"/>
          <w:szCs w:val="18"/>
          <w:lang w:val="es-ES" w:eastAsia="es-ES" w:bidi="es-ES"/>
        </w:rPr>
        <w:t>[…]</w:t>
      </w:r>
    </w:p>
    <w:p w14:paraId="4C312BDF" w14:textId="77777777" w:rsidR="00FE5775" w:rsidRPr="0069675D" w:rsidRDefault="00FE5775" w:rsidP="00FE5775">
      <w:pPr>
        <w:widowControl w:val="0"/>
        <w:autoSpaceDE w:val="0"/>
        <w:autoSpaceDN w:val="0"/>
        <w:spacing w:after="120" w:line="240" w:lineRule="auto"/>
        <w:ind w:firstLine="708"/>
        <w:jc w:val="both"/>
        <w:rPr>
          <w:rFonts w:ascii="Arial" w:hAnsi="Arial" w:cs="Arial"/>
          <w:sz w:val="18"/>
          <w:szCs w:val="18"/>
        </w:rPr>
      </w:pPr>
      <w:r w:rsidRPr="0069675D">
        <w:rPr>
          <w:rFonts w:ascii="Arial" w:eastAsia="Arial" w:hAnsi="Arial" w:cs="Arial"/>
          <w:sz w:val="18"/>
          <w:szCs w:val="18"/>
          <w:lang w:val="es-ES" w:eastAsia="es-ES" w:bidi="es-ES"/>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footnote>
  <w:footnote w:id="10">
    <w:p w14:paraId="156CE594" w14:textId="77777777" w:rsidR="00FE5775" w:rsidRPr="0069675D" w:rsidRDefault="00FE5775" w:rsidP="00FE5775">
      <w:pPr>
        <w:pStyle w:val="NormalWeb"/>
        <w:shd w:val="clear" w:color="auto" w:fill="FFFFFF"/>
        <w:spacing w:after="120" w:line="240" w:lineRule="auto"/>
        <w:ind w:firstLine="709"/>
        <w:jc w:val="both"/>
        <w:rPr>
          <w:rFonts w:ascii="Arial" w:hAnsi="Arial" w:cs="Arial"/>
          <w:sz w:val="18"/>
          <w:szCs w:val="18"/>
        </w:rPr>
      </w:pPr>
      <w:r w:rsidRPr="0069675D">
        <w:rPr>
          <w:rStyle w:val="Refdenotaalpie"/>
          <w:rFonts w:ascii="Arial" w:hAnsi="Arial" w:cs="Arial"/>
          <w:sz w:val="18"/>
          <w:szCs w:val="18"/>
          <w:lang w:val="es-MX"/>
        </w:rPr>
        <w:footnoteRef/>
      </w:r>
      <w:r w:rsidRPr="0069675D">
        <w:rPr>
          <w:rStyle w:val="Refdenotaalpie"/>
          <w:rFonts w:ascii="Arial" w:hAnsi="Arial" w:cs="Arial"/>
          <w:sz w:val="18"/>
          <w:szCs w:val="18"/>
          <w:lang w:val="es-MX"/>
        </w:rPr>
        <w:t xml:space="preserve"> </w:t>
      </w:r>
      <w:r w:rsidRPr="0069675D">
        <w:rPr>
          <w:rFonts w:ascii="Arial" w:hAnsi="Arial" w:cs="Arial"/>
          <w:sz w:val="18"/>
          <w:szCs w:val="18"/>
        </w:rPr>
        <w:t>“Artículo 2.2.1.1.1.6.4. Capacidad Residual: El interesado en celebrar contratos de obra pública con Entidades Estatales debe acreditar su Capacidad Residual o K de Contratación con los siguientes documentos:</w:t>
      </w:r>
    </w:p>
    <w:p w14:paraId="0DB010E5" w14:textId="77777777" w:rsidR="00FE5775" w:rsidRPr="0069675D" w:rsidRDefault="00FE5775" w:rsidP="00FE5775">
      <w:pPr>
        <w:shd w:val="clear" w:color="auto" w:fill="FFFFFF"/>
        <w:spacing w:after="120" w:line="240" w:lineRule="auto"/>
        <w:ind w:firstLine="709"/>
        <w:jc w:val="both"/>
        <w:rPr>
          <w:rFonts w:ascii="Arial" w:hAnsi="Arial" w:cs="Arial"/>
          <w:sz w:val="18"/>
          <w:szCs w:val="18"/>
        </w:rPr>
      </w:pPr>
      <w:r w:rsidRPr="0069675D">
        <w:rPr>
          <w:rFonts w:ascii="Arial" w:hAnsi="Arial" w:cs="Arial"/>
          <w:sz w:val="18"/>
          <w:szCs w:val="18"/>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3684E886" w14:textId="77777777" w:rsidR="00FE5775" w:rsidRPr="0069675D" w:rsidRDefault="00FE5775" w:rsidP="00FE5775">
      <w:pPr>
        <w:shd w:val="clear" w:color="auto" w:fill="FFFFFF"/>
        <w:spacing w:after="120" w:line="240" w:lineRule="auto"/>
        <w:ind w:firstLine="709"/>
        <w:jc w:val="both"/>
        <w:rPr>
          <w:rFonts w:ascii="Arial" w:hAnsi="Arial" w:cs="Arial"/>
          <w:sz w:val="18"/>
          <w:szCs w:val="18"/>
        </w:rPr>
      </w:pPr>
      <w:r w:rsidRPr="0069675D">
        <w:rPr>
          <w:rFonts w:ascii="Arial" w:hAnsi="Arial" w:cs="Arial"/>
          <w:sz w:val="18"/>
          <w:szCs w:val="18"/>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23D93386" w14:textId="77777777" w:rsidR="00FE5775" w:rsidRPr="0069675D" w:rsidRDefault="00FE5775" w:rsidP="00FE5775">
      <w:pPr>
        <w:shd w:val="clear" w:color="auto" w:fill="FFFFFF"/>
        <w:spacing w:after="120" w:line="240" w:lineRule="auto"/>
        <w:ind w:firstLine="709"/>
        <w:jc w:val="both"/>
        <w:rPr>
          <w:rFonts w:ascii="Arial" w:hAnsi="Arial" w:cs="Arial"/>
          <w:sz w:val="18"/>
          <w:szCs w:val="18"/>
        </w:rPr>
      </w:pPr>
      <w:r w:rsidRPr="0069675D">
        <w:rPr>
          <w:rFonts w:ascii="Arial" w:hAnsi="Arial" w:cs="Arial"/>
          <w:sz w:val="18"/>
          <w:szCs w:val="18"/>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11">
    <w:p w14:paraId="5E9A6329" w14:textId="77777777" w:rsidR="00FE5775" w:rsidRPr="0069675D" w:rsidRDefault="00FE5775" w:rsidP="00FE5775">
      <w:pPr>
        <w:pStyle w:val="Textonotapie"/>
        <w:spacing w:after="120"/>
        <w:ind w:firstLine="709"/>
        <w:jc w:val="both"/>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63DB00AC" w14:textId="77777777" w:rsidR="00FE5775" w:rsidRPr="0069675D" w:rsidRDefault="00FE5775" w:rsidP="00FE5775">
      <w:pPr>
        <w:pStyle w:val="Textonotapie"/>
        <w:spacing w:after="120"/>
        <w:ind w:firstLine="709"/>
        <w:jc w:val="both"/>
        <w:rPr>
          <w:rFonts w:ascii="Arial" w:hAnsi="Arial" w:cs="Arial"/>
          <w:sz w:val="18"/>
          <w:szCs w:val="18"/>
        </w:rPr>
      </w:pPr>
      <w:r w:rsidRPr="0069675D">
        <w:rPr>
          <w:rFonts w:ascii="Arial" w:hAnsi="Arial" w:cs="Arial"/>
          <w:sz w:val="18"/>
          <w:szCs w:val="18"/>
        </w:rPr>
        <w:t>1. Experiencia – Los contratos celebrados por el interesado para cada uno de los bienes, obras y servicios que ofrecerá a las Entidades Estatales, identificados con el Clasificador de Bienes y Servicios en el tercer nivel y su valor expresado en SMMLV.</w:t>
      </w:r>
    </w:p>
    <w:p w14:paraId="63B5AC16" w14:textId="77777777" w:rsidR="00FE5775" w:rsidRPr="0069675D" w:rsidRDefault="00FE5775" w:rsidP="00FE5775">
      <w:pPr>
        <w:pStyle w:val="Textonotapie"/>
        <w:spacing w:after="120"/>
        <w:ind w:firstLine="709"/>
        <w:jc w:val="both"/>
        <w:rPr>
          <w:rFonts w:ascii="Arial" w:hAnsi="Arial" w:cs="Arial"/>
          <w:sz w:val="18"/>
          <w:szCs w:val="18"/>
        </w:rPr>
      </w:pPr>
      <w:r w:rsidRPr="0069675D">
        <w:rPr>
          <w:rFonts w:ascii="Arial" w:hAnsi="Arial" w:cs="Arial"/>
          <w:sz w:val="18"/>
          <w:szCs w:val="18"/>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p>
  </w:footnote>
  <w:footnote w:id="12">
    <w:p w14:paraId="513B6A87" w14:textId="2014A62E" w:rsidR="00213F31" w:rsidRPr="0069675D" w:rsidRDefault="00213F31" w:rsidP="007E75E7">
      <w:pPr>
        <w:pStyle w:val="Textonotapie"/>
        <w:ind w:firstLine="708"/>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w:t>
      </w:r>
      <w:r w:rsidR="007E75E7" w:rsidRPr="0069675D">
        <w:rPr>
          <w:rFonts w:ascii="Arial" w:hAnsi="Arial" w:cs="Arial"/>
          <w:sz w:val="18"/>
          <w:szCs w:val="18"/>
        </w:rPr>
        <w:t>Sin embargo tener en cuenta el termino de traslado previsto en el Decreto 1080 de 2021 para proceso de contratación adelantados por mínima cu</w:t>
      </w:r>
      <w:r w:rsidR="0069675D" w:rsidRPr="0069675D">
        <w:rPr>
          <w:rFonts w:ascii="Arial" w:hAnsi="Arial" w:cs="Arial"/>
          <w:sz w:val="18"/>
          <w:szCs w:val="18"/>
        </w:rPr>
        <w:t>antía.</w:t>
      </w:r>
    </w:p>
  </w:footnote>
  <w:footnote w:id="13">
    <w:p w14:paraId="36DBAE38" w14:textId="2838017D"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Style w:val="Refdenotaalpie"/>
          <w:rFonts w:ascii="Arial" w:hAnsi="Arial" w:cs="Arial"/>
          <w:color w:val="000000"/>
          <w:sz w:val="18"/>
          <w:szCs w:val="18"/>
        </w:rPr>
        <w:t xml:space="preserve"> </w:t>
      </w:r>
      <w:r w:rsidRPr="0069675D">
        <w:rPr>
          <w:rFonts w:ascii="Arial" w:hAnsi="Arial" w:cs="Arial"/>
          <w:color w:val="000000"/>
          <w:sz w:val="18"/>
          <w:szCs w:val="18"/>
        </w:rPr>
        <w:t xml:space="preserve">Ley 1150 de 2007, artículo 5, parágrafo 4°: </w:t>
      </w:r>
      <w:r w:rsidR="00E2629A">
        <w:rPr>
          <w:rFonts w:ascii="Arial" w:hAnsi="Arial" w:cs="Arial"/>
          <w:color w:val="000000"/>
          <w:sz w:val="18"/>
          <w:szCs w:val="18"/>
        </w:rPr>
        <w:t>“</w:t>
      </w:r>
      <w:r w:rsidRPr="0069675D">
        <w:rPr>
          <w:rFonts w:ascii="Arial" w:hAnsi="Arial" w:cs="Arial"/>
          <w:color w:val="000000"/>
          <w:sz w:val="18"/>
          <w:szCs w:val="18"/>
        </w:rPr>
        <w:t>En aquellos procesos de selección en los que se utilice el mecanismo de subasta, los documentos referentes a la futura contratación o a proponente, no necesarios para la comparación de las propuestas, deberán ser solicitados hasta el momento previo a su realización</w:t>
      </w:r>
      <w:r w:rsidR="00E2629A">
        <w:rPr>
          <w:rFonts w:ascii="Arial" w:hAnsi="Arial" w:cs="Arial"/>
          <w:color w:val="000000"/>
          <w:sz w:val="18"/>
          <w:szCs w:val="18"/>
        </w:rPr>
        <w:t>”</w:t>
      </w:r>
      <w:r w:rsidRPr="0069675D">
        <w:rPr>
          <w:rFonts w:ascii="Arial" w:hAnsi="Arial" w:cs="Arial"/>
          <w:color w:val="000000"/>
          <w:sz w:val="18"/>
          <w:szCs w:val="18"/>
        </w:rPr>
        <w:t>.</w:t>
      </w:r>
    </w:p>
    <w:p w14:paraId="24B771A3" w14:textId="77777777" w:rsidR="00C52F4E" w:rsidRPr="0069675D" w:rsidRDefault="00C52F4E" w:rsidP="00C52F4E">
      <w:pPr>
        <w:pStyle w:val="Textonotapie"/>
        <w:ind w:firstLine="709"/>
        <w:contextualSpacing/>
        <w:jc w:val="both"/>
        <w:rPr>
          <w:rFonts w:ascii="Arial" w:hAnsi="Arial" w:cs="Arial"/>
          <w:color w:val="000000"/>
          <w:sz w:val="18"/>
          <w:szCs w:val="18"/>
        </w:rPr>
      </w:pPr>
    </w:p>
  </w:footnote>
  <w:footnote w:id="14">
    <w:p w14:paraId="2C8F4525" w14:textId="5E7158A2" w:rsidR="00C52F4E" w:rsidRPr="0069675D" w:rsidRDefault="00C52F4E" w:rsidP="00C52F4E">
      <w:pPr>
        <w:pStyle w:val="NormalWeb"/>
        <w:shd w:val="clear" w:color="auto" w:fill="FFFFFF"/>
        <w:spacing w:after="0"/>
        <w:ind w:firstLine="708"/>
        <w:contextualSpacing/>
        <w:rPr>
          <w:rFonts w:ascii="Arial" w:hAnsi="Arial" w:cs="Arial"/>
          <w:sz w:val="18"/>
          <w:szCs w:val="18"/>
          <w:lang w:val="es-ES"/>
        </w:rPr>
      </w:pPr>
      <w:r w:rsidRPr="0069675D">
        <w:rPr>
          <w:rStyle w:val="Refdenotaalpie"/>
          <w:rFonts w:ascii="Arial" w:eastAsia="Arial" w:hAnsi="Arial" w:cs="Arial"/>
          <w:sz w:val="18"/>
          <w:szCs w:val="18"/>
        </w:rPr>
        <w:footnoteRef/>
      </w:r>
      <w:r w:rsidRPr="0069675D">
        <w:rPr>
          <w:rFonts w:ascii="Arial" w:hAnsi="Arial" w:cs="Arial"/>
          <w:sz w:val="18"/>
          <w:szCs w:val="18"/>
        </w:rPr>
        <w:t xml:space="preserve"> </w:t>
      </w:r>
      <w:r w:rsidR="00E2629A">
        <w:rPr>
          <w:rFonts w:ascii="Arial" w:hAnsi="Arial" w:cs="Arial"/>
          <w:sz w:val="18"/>
          <w:szCs w:val="18"/>
        </w:rPr>
        <w:t>“</w:t>
      </w:r>
      <w:r w:rsidRPr="0069675D">
        <w:rPr>
          <w:rFonts w:ascii="Arial" w:hAnsi="Arial" w:cs="Arial"/>
          <w:bCs/>
          <w:sz w:val="18"/>
          <w:szCs w:val="18"/>
          <w:shd w:val="clear" w:color="auto" w:fill="FFFFFF"/>
        </w:rPr>
        <w:t>2.2.1.2.1.5.2</w:t>
      </w:r>
      <w:r w:rsidRPr="0069675D">
        <w:rPr>
          <w:rFonts w:ascii="Arial" w:hAnsi="Arial" w:cs="Arial"/>
          <w:sz w:val="18"/>
          <w:szCs w:val="18"/>
          <w:lang w:val="es-ES"/>
        </w:rPr>
        <w:t xml:space="preserve">5. </w:t>
      </w:r>
      <w:r w:rsidRPr="0069675D">
        <w:rPr>
          <w:rFonts w:ascii="Arial" w:hAnsi="Arial" w:cs="Arial"/>
          <w:bCs/>
          <w:sz w:val="18"/>
          <w:szCs w:val="18"/>
          <w:lang w:val="es-ES"/>
        </w:rPr>
        <w:t>Procedimiento para la contratación de mínima cuantía.</w:t>
      </w:r>
      <w:r w:rsidRPr="0069675D">
        <w:rPr>
          <w:rFonts w:ascii="Arial" w:hAnsi="Arial" w:cs="Arial"/>
          <w:sz w:val="18"/>
          <w:szCs w:val="18"/>
          <w:lang w:val="es-ES"/>
        </w:rPr>
        <w:t> Las siguientes reglas son aplicables a la contratación cuyo valor no excede del diez por ciento (10%) de la menor cuantía de la Entidad Estatal, independientemente de su objeto:</w:t>
      </w:r>
    </w:p>
    <w:p w14:paraId="0F5C687F" w14:textId="77777777" w:rsidR="00C52F4E" w:rsidRPr="0069675D" w:rsidRDefault="00C52F4E" w:rsidP="00C52F4E">
      <w:pPr>
        <w:pStyle w:val="NormalWeb"/>
        <w:shd w:val="clear" w:color="auto" w:fill="FFFFFF"/>
        <w:spacing w:after="0"/>
        <w:ind w:firstLine="708"/>
        <w:contextualSpacing/>
        <w:rPr>
          <w:rFonts w:ascii="Arial" w:hAnsi="Arial" w:cs="Arial"/>
          <w:sz w:val="18"/>
          <w:szCs w:val="18"/>
          <w:lang w:val="es-ES"/>
        </w:rPr>
      </w:pPr>
      <w:r w:rsidRPr="0069675D">
        <w:rPr>
          <w:rFonts w:ascii="Arial" w:hAnsi="Arial" w:cs="Arial"/>
          <w:sz w:val="18"/>
          <w:szCs w:val="18"/>
          <w:lang w:val="es-ES"/>
        </w:rPr>
        <w:t>[…]</w:t>
      </w:r>
    </w:p>
    <w:p w14:paraId="6721919F" w14:textId="079DEF7B" w:rsidR="00C52F4E" w:rsidRPr="0069675D" w:rsidRDefault="00C52F4E" w:rsidP="00C52F4E">
      <w:pPr>
        <w:pStyle w:val="NormalWeb"/>
        <w:shd w:val="clear" w:color="auto" w:fill="FFFFFF"/>
        <w:spacing w:after="0"/>
        <w:ind w:firstLine="708"/>
        <w:contextualSpacing/>
        <w:rPr>
          <w:rFonts w:ascii="Arial" w:hAnsi="Arial" w:cs="Arial"/>
          <w:sz w:val="18"/>
          <w:szCs w:val="18"/>
          <w:lang w:val="es-ES"/>
        </w:rPr>
      </w:pPr>
      <w:r w:rsidRPr="0069675D">
        <w:rPr>
          <w:rFonts w:ascii="Arial" w:hAnsi="Arial" w:cs="Arial"/>
          <w:sz w:val="18"/>
          <w:szCs w:val="18"/>
          <w:lang w:val="es-ES"/>
        </w:rPr>
        <w:t>5. La Entidad Estatal debe revisar las ofertas económicas y verificar que la de menor precio cumple con las condiciones de la invitación. Si esta no cumple, la Entidad Estatal debe verificar el cumplimento de los requisitos de la invitación de la oferta con el segundo mejor precio, y así sucesivamente. Lo anterior sin perjuicio de la oportunidad que deberán otorgar las Entidades Estatales para subsanar las ofertas, en los términos del artículo </w:t>
      </w:r>
      <w:hyperlink r:id="rId2" w:anchor="5" w:history="1">
        <w:r w:rsidRPr="0069675D">
          <w:rPr>
            <w:rFonts w:ascii="Arial" w:hAnsi="Arial" w:cs="Arial"/>
            <w:sz w:val="18"/>
            <w:szCs w:val="18"/>
            <w:u w:val="single"/>
            <w:lang w:val="es-ES"/>
          </w:rPr>
          <w:t>5 </w:t>
        </w:r>
      </w:hyperlink>
      <w:r w:rsidRPr="0069675D">
        <w:rPr>
          <w:rFonts w:ascii="Arial" w:hAnsi="Arial" w:cs="Arial"/>
          <w:sz w:val="18"/>
          <w:szCs w:val="18"/>
          <w:lang w:val="es-ES"/>
        </w:rPr>
        <w:t>de la Ley 1150 de 2007, para lo cual establecerán un término preclusivo en la invitación para recibir los documentos subsanables, frente a cada uno de los requerimientos. En caso de que no se establezca este término, los proponentes podrán subsanar sus ofertas hasta antes de que finalice el traslado del informe de evaluación</w:t>
      </w:r>
      <w:r w:rsidR="00E2629A">
        <w:rPr>
          <w:rFonts w:ascii="Arial" w:hAnsi="Arial" w:cs="Arial"/>
          <w:sz w:val="18"/>
          <w:szCs w:val="18"/>
        </w:rPr>
        <w:t>”</w:t>
      </w:r>
      <w:r w:rsidRPr="0069675D">
        <w:rPr>
          <w:rFonts w:ascii="Arial" w:hAnsi="Arial" w:cs="Arial"/>
          <w:sz w:val="18"/>
          <w:szCs w:val="18"/>
          <w:lang w:val="es-ES"/>
        </w:rPr>
        <w:t>.</w:t>
      </w:r>
    </w:p>
    <w:p w14:paraId="0DDC7787" w14:textId="77777777" w:rsidR="00C52F4E" w:rsidRPr="0069675D" w:rsidRDefault="00C52F4E" w:rsidP="00C52F4E">
      <w:pPr>
        <w:pStyle w:val="Textonotapie"/>
        <w:contextualSpacing/>
        <w:jc w:val="both"/>
        <w:rPr>
          <w:rFonts w:ascii="Arial" w:hAnsi="Arial" w:cs="Arial"/>
          <w:sz w:val="18"/>
          <w:szCs w:val="18"/>
          <w:lang w:val="es-ES"/>
        </w:rPr>
      </w:pPr>
    </w:p>
  </w:footnote>
  <w:footnote w:id="15">
    <w:p w14:paraId="5DE225B2" w14:textId="7B64E169"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w:t>
      </w:r>
      <w:r w:rsidRPr="0069675D">
        <w:rPr>
          <w:rFonts w:ascii="Arial" w:hAnsi="Arial" w:cs="Arial"/>
          <w:color w:val="000000"/>
          <w:sz w:val="18"/>
          <w:szCs w:val="18"/>
        </w:rPr>
        <w:t xml:space="preserve">En armonía con lo anterior, actualmente la Circular Externa Única de Colombia Compra Eficiente señala lo siguiente: </w:t>
      </w:r>
      <w:r w:rsidR="00E2629A">
        <w:rPr>
          <w:rFonts w:ascii="Arial" w:hAnsi="Arial" w:cs="Arial"/>
          <w:color w:val="000000"/>
          <w:sz w:val="18"/>
          <w:szCs w:val="18"/>
        </w:rPr>
        <w:t>“</w:t>
      </w:r>
      <w:r w:rsidRPr="0069675D">
        <w:rPr>
          <w:rFonts w:ascii="Arial" w:hAnsi="Arial" w:cs="Arial"/>
          <w:color w:val="000000"/>
          <w:sz w:val="18"/>
          <w:szCs w:val="18"/>
        </w:rPr>
        <w:t xml:space="preserve">De otro lado, cabe destacar que, de conformidad con el artículo 5 de la Ley 1882 de 2018, durante el término otorgado para subsanar, los proponentes no podrán acreditar circunstancias ocurridas luego del cierre del proceso. De esta manera, es subsanable la prueba de todas las circunstancias ocurridas antes del vencimiento del término para presentar las ofertas, por lo que no se podrán acreditar circunstancias ocurridas con posterioridad a dicho momento. </w:t>
      </w:r>
    </w:p>
    <w:p w14:paraId="47CD0B95" w14:textId="2AD01822" w:rsidR="00C52F4E" w:rsidRPr="0069675D" w:rsidRDefault="00E2629A" w:rsidP="00C52F4E">
      <w:pPr>
        <w:pStyle w:val="Textonotapie"/>
        <w:ind w:firstLine="709"/>
        <w:contextualSpacing/>
        <w:jc w:val="both"/>
        <w:rPr>
          <w:rFonts w:ascii="Arial" w:hAnsi="Arial" w:cs="Arial"/>
          <w:color w:val="000000"/>
          <w:sz w:val="18"/>
          <w:szCs w:val="18"/>
        </w:rPr>
      </w:pPr>
      <w:proofErr w:type="gramStart"/>
      <w:r>
        <w:rPr>
          <w:rFonts w:ascii="Arial" w:hAnsi="Arial" w:cs="Arial"/>
          <w:color w:val="000000"/>
          <w:sz w:val="18"/>
          <w:szCs w:val="18"/>
        </w:rPr>
        <w:t>“</w:t>
      </w:r>
      <w:r w:rsidR="00C52F4E" w:rsidRPr="0069675D">
        <w:rPr>
          <w:rFonts w:ascii="Arial" w:hAnsi="Arial" w:cs="Arial"/>
          <w:color w:val="000000"/>
          <w:sz w:val="18"/>
          <w:szCs w:val="18"/>
        </w:rPr>
        <w:t xml:space="preserve"> Lo</w:t>
      </w:r>
      <w:proofErr w:type="gramEnd"/>
      <w:r w:rsidR="00C52F4E" w:rsidRPr="0069675D">
        <w:rPr>
          <w:rFonts w:ascii="Arial" w:hAnsi="Arial" w:cs="Arial"/>
          <w:color w:val="000000"/>
          <w:sz w:val="18"/>
          <w:szCs w:val="18"/>
        </w:rPr>
        <w:t xml:space="preserve"> anterior quiere decir que no es la prueba lo que debe ser anterior al cierre del proceso, sino el hecho que esta acredita. En ese sentido, ante la solicitud de la Administración de subsanar un requisito, el documento podría estar fechado con posterioridad al vencimiento del término para recibir propuestas, con la condición de que el hecho que acredite haya ocurrido antes, esto es, que no sea una circunstancia ocurrida con posterioridad al cierre del proceso. Un mejor entendimiento del significado de la expresión </w:t>
      </w:r>
      <w:r>
        <w:rPr>
          <w:rFonts w:ascii="Arial" w:hAnsi="Arial" w:cs="Arial"/>
          <w:color w:val="000000"/>
          <w:sz w:val="18"/>
          <w:szCs w:val="18"/>
        </w:rPr>
        <w:t>“</w:t>
      </w:r>
      <w:r w:rsidR="00C52F4E" w:rsidRPr="0069675D">
        <w:rPr>
          <w:rFonts w:ascii="Arial" w:hAnsi="Arial" w:cs="Arial"/>
          <w:color w:val="000000"/>
          <w:sz w:val="18"/>
          <w:szCs w:val="18"/>
        </w:rPr>
        <w:t>circunstancias ocurridas con posterioridad al cierre del proceso</w:t>
      </w:r>
      <w:r>
        <w:rPr>
          <w:rFonts w:ascii="Arial" w:hAnsi="Arial" w:cs="Arial"/>
          <w:color w:val="000000"/>
          <w:sz w:val="18"/>
          <w:szCs w:val="18"/>
        </w:rPr>
        <w:t>”</w:t>
      </w:r>
      <w:r w:rsidR="00C52F4E" w:rsidRPr="0069675D">
        <w:rPr>
          <w:rFonts w:ascii="Arial" w:hAnsi="Arial" w:cs="Arial"/>
          <w:color w:val="000000"/>
          <w:sz w:val="18"/>
          <w:szCs w:val="18"/>
        </w:rPr>
        <w:t xml:space="preserve"> implica distinguir entre la prueba de un hecho y el hecho mismo. En el caso de la subsanabilidad de las ofertas, una cosa es el requisito habilitante o el elemento de la propuesta que permite cumplir determinada exigencia del pliego de condiciones –o documento equivalente– y otra su prueba. Lo que prohíbe la norma es que se subsanen requisitos que no estaban materialmente cumplidos al momento del cierre del proceso</w:t>
      </w:r>
      <w:r>
        <w:rPr>
          <w:rFonts w:ascii="Arial" w:hAnsi="Arial" w:cs="Arial"/>
          <w:color w:val="000000"/>
          <w:sz w:val="18"/>
          <w:szCs w:val="18"/>
        </w:rPr>
        <w:t>”</w:t>
      </w:r>
      <w:r w:rsidR="00C52F4E" w:rsidRPr="0069675D">
        <w:rPr>
          <w:rFonts w:ascii="Arial" w:hAnsi="Arial" w:cs="Arial"/>
          <w:color w:val="000000"/>
          <w:sz w:val="18"/>
          <w:szCs w:val="18"/>
        </w:rPr>
        <w:t xml:space="preserve">. Disponible en: </w:t>
      </w:r>
      <w:hyperlink r:id="rId3" w:history="1">
        <w:r w:rsidR="00C52F4E" w:rsidRPr="0069675D">
          <w:rPr>
            <w:rStyle w:val="Hipervnculo"/>
            <w:rFonts w:ascii="Arial" w:hAnsi="Arial" w:cs="Arial"/>
            <w:color w:val="000000"/>
            <w:sz w:val="18"/>
            <w:szCs w:val="18"/>
          </w:rPr>
          <w:t>https://www.colombiacompra.gov.co/content/circular-unica-externa</w:t>
        </w:r>
      </w:hyperlink>
      <w:r w:rsidR="00C52F4E" w:rsidRPr="0069675D">
        <w:rPr>
          <w:rFonts w:ascii="Arial" w:hAnsi="Arial" w:cs="Arial"/>
          <w:color w:val="000000"/>
          <w:sz w:val="18"/>
          <w:szCs w:val="18"/>
        </w:rPr>
        <w:t>.</w:t>
      </w:r>
    </w:p>
    <w:p w14:paraId="20423EE1" w14:textId="77777777" w:rsidR="00C52F4E" w:rsidRPr="0069675D" w:rsidRDefault="00C52F4E" w:rsidP="00C52F4E">
      <w:pPr>
        <w:pStyle w:val="Textonotapie"/>
        <w:ind w:firstLine="709"/>
        <w:contextualSpacing/>
        <w:jc w:val="both"/>
        <w:rPr>
          <w:rFonts w:ascii="Arial" w:hAnsi="Arial" w:cs="Arial"/>
          <w:sz w:val="18"/>
          <w:szCs w:val="18"/>
        </w:rPr>
      </w:pPr>
    </w:p>
  </w:footnote>
  <w:footnote w:id="16">
    <w:p w14:paraId="2872F8DC" w14:textId="77777777"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Ver CONSEJO DE ESTADO, Sección Tercera, Subsección C. Sentencia del 26 de febrero de 2011. C.P. Jaime Orlando Santofimio. Rad. 36.408. </w:t>
      </w:r>
    </w:p>
    <w:p w14:paraId="5DC1CF76" w14:textId="77777777" w:rsidR="00C52F4E" w:rsidRPr="0069675D" w:rsidRDefault="00C52F4E" w:rsidP="00C52F4E">
      <w:pPr>
        <w:pStyle w:val="Textonotapie"/>
        <w:ind w:firstLine="709"/>
        <w:contextualSpacing/>
        <w:jc w:val="both"/>
        <w:rPr>
          <w:rFonts w:ascii="Arial" w:hAnsi="Arial" w:cs="Arial"/>
          <w:color w:val="000000"/>
          <w:sz w:val="18"/>
          <w:szCs w:val="18"/>
        </w:rPr>
      </w:pPr>
    </w:p>
  </w:footnote>
  <w:footnote w:id="17">
    <w:p w14:paraId="6F40BCE7" w14:textId="77777777"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Ver CONSEJO DE ESTADO, Sección Tercera, Subsección C. Sentencia del 26 de febrero de 2014. C.P. Enrique Gil Botero. Rad. 25.804. </w:t>
      </w:r>
    </w:p>
    <w:p w14:paraId="219BDE5C" w14:textId="77777777" w:rsidR="00C52F4E" w:rsidRPr="0069675D" w:rsidRDefault="00C52F4E" w:rsidP="00C52F4E">
      <w:pPr>
        <w:pStyle w:val="Textonotapie"/>
        <w:ind w:firstLine="709"/>
        <w:contextualSpacing/>
        <w:jc w:val="both"/>
        <w:rPr>
          <w:rFonts w:ascii="Arial" w:hAnsi="Arial" w:cs="Arial"/>
          <w:color w:val="000000"/>
          <w:sz w:val="18"/>
          <w:szCs w:val="18"/>
        </w:rPr>
      </w:pPr>
    </w:p>
  </w:footnote>
  <w:footnote w:id="18">
    <w:p w14:paraId="73AE2D62" w14:textId="77777777" w:rsidR="00C52F4E" w:rsidRPr="0069675D" w:rsidRDefault="00C52F4E" w:rsidP="00C52F4E">
      <w:pPr>
        <w:pStyle w:val="Textonotapie"/>
        <w:ind w:firstLine="709"/>
        <w:contextualSpacing/>
        <w:jc w:val="both"/>
        <w:rPr>
          <w:rFonts w:ascii="Arial" w:hAnsi="Arial" w:cs="Arial"/>
          <w:color w:val="000000"/>
          <w:sz w:val="18"/>
          <w:szCs w:val="18"/>
        </w:rPr>
      </w:pPr>
      <w:r w:rsidRPr="0069675D">
        <w:rPr>
          <w:rStyle w:val="Refdenotaalpie"/>
          <w:rFonts w:ascii="Arial" w:hAnsi="Arial" w:cs="Arial"/>
          <w:color w:val="000000"/>
          <w:sz w:val="18"/>
          <w:szCs w:val="18"/>
        </w:rPr>
        <w:footnoteRef/>
      </w:r>
      <w:r w:rsidRPr="0069675D">
        <w:rPr>
          <w:rFonts w:ascii="Arial" w:hAnsi="Arial" w:cs="Arial"/>
          <w:color w:val="000000"/>
          <w:sz w:val="18"/>
          <w:szCs w:val="18"/>
        </w:rPr>
        <w:t xml:space="preserve"> CONSEJO DE ESTADO. Sala de Consulta y Servicio Civil. Concepto del 20 de mayo de 2010. Expediente: 1992. Consejero Ponente: Enrique José Arboleda Perdomo.</w:t>
      </w:r>
    </w:p>
  </w:footnote>
  <w:footnote w:id="19">
    <w:p w14:paraId="7C10111E" w14:textId="77777777" w:rsidR="00C52F4E" w:rsidRPr="0069675D" w:rsidRDefault="00C52F4E" w:rsidP="00C52F4E">
      <w:pPr>
        <w:pBdr>
          <w:top w:val="nil"/>
          <w:left w:val="nil"/>
          <w:bottom w:val="nil"/>
          <w:right w:val="nil"/>
          <w:between w:val="nil"/>
        </w:pBdr>
        <w:ind w:firstLine="709"/>
        <w:contextualSpacing/>
        <w:jc w:val="both"/>
        <w:rPr>
          <w:rFonts w:ascii="Arial" w:eastAsia="Arial" w:hAnsi="Arial" w:cs="Arial"/>
          <w:color w:val="000000"/>
          <w:sz w:val="18"/>
          <w:szCs w:val="18"/>
        </w:rPr>
      </w:pPr>
      <w:r w:rsidRPr="0069675D">
        <w:rPr>
          <w:rFonts w:ascii="Arial" w:hAnsi="Arial" w:cs="Arial"/>
          <w:sz w:val="18"/>
          <w:szCs w:val="18"/>
          <w:vertAlign w:val="superscript"/>
        </w:rPr>
        <w:footnoteRef/>
      </w:r>
      <w:r w:rsidRPr="0069675D">
        <w:rPr>
          <w:rFonts w:ascii="Arial" w:eastAsia="Arial" w:hAnsi="Arial" w:cs="Arial"/>
          <w:color w:val="000000"/>
          <w:sz w:val="18"/>
          <w:szCs w:val="18"/>
        </w:rPr>
        <w:t xml:space="preserve"> CONSEJO DE ESTADO. Sección Tercera. Subsección C. Sentencia del 12 de noviembre de 2014. Exp. 27.986. C.P. Enrique Gil Botero.</w:t>
      </w:r>
    </w:p>
    <w:p w14:paraId="0F6DAA4E" w14:textId="77777777" w:rsidR="00C52F4E" w:rsidRPr="0069675D" w:rsidRDefault="00C52F4E" w:rsidP="00C52F4E">
      <w:pPr>
        <w:pBdr>
          <w:top w:val="nil"/>
          <w:left w:val="nil"/>
          <w:bottom w:val="nil"/>
          <w:right w:val="nil"/>
          <w:between w:val="nil"/>
        </w:pBdr>
        <w:ind w:firstLine="709"/>
        <w:contextualSpacing/>
        <w:jc w:val="both"/>
        <w:rPr>
          <w:rFonts w:ascii="Arial" w:eastAsia="Arial" w:hAnsi="Arial" w:cs="Arial"/>
          <w:color w:val="000000"/>
          <w:sz w:val="18"/>
          <w:szCs w:val="18"/>
        </w:rPr>
      </w:pPr>
    </w:p>
  </w:footnote>
  <w:footnote w:id="20">
    <w:p w14:paraId="7D2B364B" w14:textId="41580EB5" w:rsidR="00C52F4E" w:rsidRPr="0069675D" w:rsidRDefault="00C52F4E" w:rsidP="00C52F4E">
      <w:pPr>
        <w:pStyle w:val="Textonotapie"/>
        <w:ind w:firstLine="709"/>
        <w:contextualSpacing/>
        <w:jc w:val="both"/>
        <w:rPr>
          <w:rFonts w:ascii="Arial" w:hAnsi="Arial" w:cs="Arial"/>
          <w:sz w:val="18"/>
          <w:szCs w:val="18"/>
          <w:lang w:val="es-CO"/>
        </w:rPr>
      </w:pPr>
      <w:r w:rsidRPr="0069675D">
        <w:rPr>
          <w:rStyle w:val="Refdenotaalpie"/>
          <w:rFonts w:ascii="Arial" w:hAnsi="Arial" w:cs="Arial"/>
          <w:sz w:val="18"/>
          <w:szCs w:val="18"/>
        </w:rPr>
        <w:footnoteRef/>
      </w:r>
      <w:r w:rsidRPr="0069675D">
        <w:rPr>
          <w:rFonts w:ascii="Arial" w:hAnsi="Arial" w:cs="Arial"/>
          <w:sz w:val="18"/>
          <w:szCs w:val="18"/>
        </w:rPr>
        <w:t xml:space="preserve"> </w:t>
      </w:r>
      <w:r w:rsidRPr="0069675D">
        <w:rPr>
          <w:rFonts w:ascii="Arial" w:hAnsi="Arial" w:cs="Arial"/>
          <w:bCs/>
          <w:sz w:val="18"/>
          <w:szCs w:val="18"/>
        </w:rPr>
        <w:t xml:space="preserve">En todo caso, conforme al parágrafo 3 del artículo 30 del Estatuto General de Contratación de la Administración pública, es necesario tener en cuenta que para los procesos de licitación para los contratistas de obra pública la oferta debe entregarse en dos sobres. El sobre numero 2 contiene la propuesta económica, y la norma dispone </w:t>
      </w:r>
      <w:r w:rsidR="00E2629A">
        <w:rPr>
          <w:rFonts w:ascii="Arial" w:hAnsi="Arial" w:cs="Arial"/>
          <w:bCs/>
          <w:sz w:val="18"/>
          <w:szCs w:val="18"/>
        </w:rPr>
        <w:t>“</w:t>
      </w:r>
      <w:r w:rsidRPr="0069675D">
        <w:rPr>
          <w:rFonts w:ascii="Arial" w:hAnsi="Arial" w:cs="Arial"/>
          <w:bCs/>
          <w:sz w:val="18"/>
          <w:szCs w:val="18"/>
        </w:rPr>
        <w:t>[…]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00E2629A">
        <w:rPr>
          <w:rFonts w:ascii="Arial" w:hAnsi="Arial" w:cs="Arial"/>
          <w:bCs/>
          <w:sz w:val="18"/>
          <w:szCs w:val="18"/>
        </w:rPr>
        <w:t>”</w:t>
      </w:r>
      <w:r w:rsidRPr="0069675D">
        <w:rPr>
          <w:rFonts w:ascii="Arial" w:hAnsi="Arial" w:cs="Arial"/>
          <w:bCs/>
          <w:sz w:val="18"/>
          <w:szCs w:val="18"/>
        </w:rPr>
        <w:t xml:space="preserve">. </w:t>
      </w:r>
    </w:p>
  </w:footnote>
  <w:footnote w:id="21">
    <w:p w14:paraId="7DCED1C7" w14:textId="77777777" w:rsidR="00C52F4E" w:rsidRPr="0069675D" w:rsidRDefault="00C52F4E" w:rsidP="00C52F4E">
      <w:pPr>
        <w:pBdr>
          <w:top w:val="nil"/>
          <w:left w:val="nil"/>
          <w:bottom w:val="nil"/>
          <w:right w:val="nil"/>
          <w:between w:val="nil"/>
        </w:pBdr>
        <w:ind w:firstLine="709"/>
        <w:contextualSpacing/>
        <w:jc w:val="both"/>
        <w:rPr>
          <w:rFonts w:ascii="Arial" w:hAnsi="Arial" w:cs="Arial"/>
          <w:color w:val="000000"/>
          <w:sz w:val="18"/>
          <w:szCs w:val="18"/>
        </w:rPr>
      </w:pPr>
      <w:r w:rsidRPr="0069675D">
        <w:rPr>
          <w:rFonts w:ascii="Arial" w:hAnsi="Arial" w:cs="Arial"/>
          <w:sz w:val="18"/>
          <w:szCs w:val="18"/>
          <w:vertAlign w:val="superscript"/>
        </w:rPr>
        <w:footnoteRef/>
      </w:r>
      <w:r w:rsidRPr="0069675D">
        <w:rPr>
          <w:rFonts w:ascii="Arial" w:hAnsi="Arial" w:cs="Arial"/>
          <w:color w:val="000000"/>
          <w:sz w:val="18"/>
          <w:szCs w:val="18"/>
        </w:rPr>
        <w:t xml:space="preserve"> </w:t>
      </w:r>
      <w:r w:rsidRPr="0069675D">
        <w:rPr>
          <w:rFonts w:ascii="Arial" w:eastAsia="Arial" w:hAnsi="Arial" w:cs="Arial"/>
          <w:color w:val="000000"/>
          <w:sz w:val="18"/>
          <w:szCs w:val="18"/>
        </w:rPr>
        <w:t>Ibídem</w:t>
      </w:r>
      <w:r w:rsidRPr="0069675D">
        <w:rPr>
          <w:rFonts w:ascii="Arial" w:eastAsia="Arial" w:hAnsi="Arial" w:cs="Arial"/>
          <w:i/>
          <w:color w:val="000000"/>
          <w:sz w:val="18"/>
          <w:szCs w:val="18"/>
        </w:rPr>
        <w:t>.</w:t>
      </w:r>
    </w:p>
  </w:footnote>
  <w:footnote w:id="22">
    <w:p w14:paraId="0252CD49" w14:textId="77777777" w:rsidR="00C52F4E" w:rsidRPr="0069675D" w:rsidRDefault="00C52F4E" w:rsidP="00C52F4E">
      <w:pPr>
        <w:pBdr>
          <w:top w:val="nil"/>
          <w:left w:val="nil"/>
          <w:bottom w:val="nil"/>
          <w:right w:val="nil"/>
          <w:between w:val="nil"/>
        </w:pBdr>
        <w:ind w:firstLine="709"/>
        <w:contextualSpacing/>
        <w:jc w:val="both"/>
        <w:rPr>
          <w:rFonts w:ascii="Arial" w:hAnsi="Arial" w:cs="Arial"/>
          <w:color w:val="000000"/>
          <w:sz w:val="18"/>
          <w:szCs w:val="18"/>
        </w:rPr>
      </w:pPr>
      <w:r w:rsidRPr="0069675D">
        <w:rPr>
          <w:rFonts w:ascii="Arial" w:hAnsi="Arial" w:cs="Arial"/>
          <w:sz w:val="18"/>
          <w:szCs w:val="18"/>
          <w:vertAlign w:val="superscript"/>
        </w:rPr>
        <w:footnoteRef/>
      </w:r>
      <w:r w:rsidRPr="0069675D">
        <w:rPr>
          <w:rFonts w:ascii="Arial" w:hAnsi="Arial" w:cs="Arial"/>
          <w:color w:val="000000"/>
          <w:sz w:val="18"/>
          <w:szCs w:val="18"/>
        </w:rPr>
        <w:t xml:space="preserve"> Ibídem</w:t>
      </w:r>
    </w:p>
    <w:p w14:paraId="3D9A2517" w14:textId="77777777" w:rsidR="00C52F4E" w:rsidRPr="0069675D" w:rsidRDefault="00C52F4E" w:rsidP="00C52F4E">
      <w:pPr>
        <w:pBdr>
          <w:top w:val="nil"/>
          <w:left w:val="nil"/>
          <w:bottom w:val="nil"/>
          <w:right w:val="nil"/>
          <w:between w:val="nil"/>
        </w:pBdr>
        <w:ind w:firstLine="709"/>
        <w:contextualSpacing/>
        <w:jc w:val="both"/>
        <w:rPr>
          <w:rFonts w:ascii="Arial" w:hAnsi="Arial" w:cs="Arial"/>
          <w:color w:val="000000"/>
          <w:sz w:val="18"/>
          <w:szCs w:val="18"/>
        </w:rPr>
      </w:pPr>
    </w:p>
  </w:footnote>
  <w:footnote w:id="23">
    <w:p w14:paraId="4B97AD85" w14:textId="77777777" w:rsidR="00FE5775" w:rsidRPr="0069675D" w:rsidRDefault="00FE5775" w:rsidP="00FE5775">
      <w:pPr>
        <w:pStyle w:val="Textonotapie"/>
        <w:spacing w:after="120"/>
        <w:ind w:firstLine="709"/>
        <w:jc w:val="both"/>
        <w:rPr>
          <w:rFonts w:ascii="Arial" w:hAnsi="Arial" w:cs="Arial"/>
          <w:sz w:val="18"/>
          <w:szCs w:val="18"/>
        </w:rPr>
      </w:pPr>
      <w:r w:rsidRPr="0069675D">
        <w:rPr>
          <w:rStyle w:val="Refdenotaalpie"/>
          <w:rFonts w:ascii="Arial" w:hAnsi="Arial" w:cs="Arial"/>
          <w:sz w:val="18"/>
          <w:szCs w:val="18"/>
        </w:rPr>
        <w:footnoteRef/>
      </w:r>
      <w:r w:rsidRPr="0069675D">
        <w:rPr>
          <w:rFonts w:ascii="Arial" w:hAnsi="Arial" w:cs="Arial"/>
          <w:sz w:val="18"/>
          <w:szCs w:val="18"/>
        </w:rPr>
        <w:t xml:space="preserve"> Colombia Compra Eficiente. Concepto C-297 del 4 de junio de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8BB"/>
    <w:multiLevelType w:val="hybridMultilevel"/>
    <w:tmpl w:val="43125918"/>
    <w:lvl w:ilvl="0" w:tplc="48460DCA">
      <w:start w:val="8"/>
      <w:numFmt w:val="upperLetter"/>
      <w:lvlText w:val="%1."/>
      <w:lvlJc w:val="left"/>
      <w:pPr>
        <w:ind w:left="720" w:hanging="36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D831F6D"/>
    <w:multiLevelType w:val="multilevel"/>
    <w:tmpl w:val="C680A8D8"/>
    <w:lvl w:ilvl="0">
      <w:start w:val="2"/>
      <w:numFmt w:val="decimal"/>
      <w:lvlText w:val="%1."/>
      <w:lvlJc w:val="left"/>
      <w:pPr>
        <w:ind w:left="-349" w:hanging="360"/>
      </w:pPr>
      <w:rPr>
        <w:rFonts w:hint="default"/>
      </w:rPr>
    </w:lvl>
    <w:lvl w:ilvl="1">
      <w:start w:val="2"/>
      <w:numFmt w:val="decimal"/>
      <w:lvlText w:val="%1.%2."/>
      <w:lvlJc w:val="left"/>
      <w:pPr>
        <w:ind w:left="371" w:hanging="720"/>
      </w:pPr>
      <w:rPr>
        <w:rFonts w:hint="default"/>
      </w:rPr>
    </w:lvl>
    <w:lvl w:ilvl="2">
      <w:start w:val="1"/>
      <w:numFmt w:val="decimal"/>
      <w:lvlText w:val="%1.%2.%3."/>
      <w:lvlJc w:val="left"/>
      <w:pPr>
        <w:ind w:left="731" w:hanging="720"/>
      </w:pPr>
      <w:rPr>
        <w:rFonts w:hint="default"/>
      </w:rPr>
    </w:lvl>
    <w:lvl w:ilvl="3">
      <w:start w:val="1"/>
      <w:numFmt w:val="decimal"/>
      <w:lvlText w:val="%1.%2.%3.%4."/>
      <w:lvlJc w:val="left"/>
      <w:pPr>
        <w:ind w:left="1451" w:hanging="1080"/>
      </w:pPr>
      <w:rPr>
        <w:rFonts w:hint="default"/>
      </w:rPr>
    </w:lvl>
    <w:lvl w:ilvl="4">
      <w:start w:val="1"/>
      <w:numFmt w:val="decimal"/>
      <w:lvlText w:val="%1.%2.%3.%4.%5."/>
      <w:lvlJc w:val="left"/>
      <w:pPr>
        <w:ind w:left="1811" w:hanging="1080"/>
      </w:pPr>
      <w:rPr>
        <w:rFonts w:hint="default"/>
      </w:rPr>
    </w:lvl>
    <w:lvl w:ilvl="5">
      <w:start w:val="1"/>
      <w:numFmt w:val="decimal"/>
      <w:lvlText w:val="%1.%2.%3.%4.%5.%6."/>
      <w:lvlJc w:val="left"/>
      <w:pPr>
        <w:ind w:left="2531" w:hanging="1440"/>
      </w:pPr>
      <w:rPr>
        <w:rFonts w:hint="default"/>
      </w:rPr>
    </w:lvl>
    <w:lvl w:ilvl="6">
      <w:start w:val="1"/>
      <w:numFmt w:val="decimal"/>
      <w:lvlText w:val="%1.%2.%3.%4.%5.%6.%7."/>
      <w:lvlJc w:val="left"/>
      <w:pPr>
        <w:ind w:left="2891" w:hanging="1440"/>
      </w:pPr>
      <w:rPr>
        <w:rFonts w:hint="default"/>
      </w:rPr>
    </w:lvl>
    <w:lvl w:ilvl="7">
      <w:start w:val="1"/>
      <w:numFmt w:val="decimal"/>
      <w:lvlText w:val="%1.%2.%3.%4.%5.%6.%7.%8."/>
      <w:lvlJc w:val="left"/>
      <w:pPr>
        <w:ind w:left="3611" w:hanging="1800"/>
      </w:pPr>
      <w:rPr>
        <w:rFonts w:hint="default"/>
      </w:rPr>
    </w:lvl>
    <w:lvl w:ilvl="8">
      <w:start w:val="1"/>
      <w:numFmt w:val="decimal"/>
      <w:lvlText w:val="%1.%2.%3.%4.%5.%6.%7.%8.%9."/>
      <w:lvlJc w:val="left"/>
      <w:pPr>
        <w:ind w:left="3971" w:hanging="1800"/>
      </w:pPr>
      <w:rPr>
        <w:rFonts w:hint="default"/>
      </w:rPr>
    </w:lvl>
  </w:abstractNum>
  <w:abstractNum w:abstractNumId="3"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2768CA"/>
    <w:multiLevelType w:val="hybridMultilevel"/>
    <w:tmpl w:val="75CC8E12"/>
    <w:lvl w:ilvl="0" w:tplc="DE3083BC">
      <w:start w:val="1"/>
      <w:numFmt w:val="upperLetter"/>
      <w:lvlText w:val="%1."/>
      <w:lvlJc w:val="left"/>
      <w:pPr>
        <w:ind w:left="720" w:hanging="360"/>
      </w:pPr>
      <w:rPr>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05413EB"/>
    <w:multiLevelType w:val="hybridMultilevel"/>
    <w:tmpl w:val="58A4F990"/>
    <w:lvl w:ilvl="0" w:tplc="C3CAD0BC">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B570BEA"/>
    <w:multiLevelType w:val="multilevel"/>
    <w:tmpl w:val="D834E9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1373A3"/>
    <w:multiLevelType w:val="hybridMultilevel"/>
    <w:tmpl w:val="391A1F1A"/>
    <w:lvl w:ilvl="0" w:tplc="800CE088">
      <w:start w:val="1"/>
      <w:numFmt w:val="upperLetter"/>
      <w:lvlText w:val="%1."/>
      <w:lvlJc w:val="left"/>
      <w:pPr>
        <w:ind w:left="1070" w:hanging="71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090DB1"/>
    <w:multiLevelType w:val="hybridMultilevel"/>
    <w:tmpl w:val="078E2E72"/>
    <w:lvl w:ilvl="0" w:tplc="30687C90">
      <w:start w:val="1"/>
      <w:numFmt w:val="lowerRoman"/>
      <w:lvlText w:val="%1)"/>
      <w:lvlJc w:val="left"/>
      <w:pPr>
        <w:ind w:left="1429"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num w:numId="1" w16cid:durableId="500395951">
    <w:abstractNumId w:val="5"/>
  </w:num>
  <w:num w:numId="2" w16cid:durableId="1408454564">
    <w:abstractNumId w:val="1"/>
  </w:num>
  <w:num w:numId="3" w16cid:durableId="1897622572">
    <w:abstractNumId w:val="3"/>
  </w:num>
  <w:num w:numId="4" w16cid:durableId="126700878">
    <w:abstractNumId w:val="7"/>
  </w:num>
  <w:num w:numId="5" w16cid:durableId="1558662688">
    <w:abstractNumId w:val="2"/>
  </w:num>
  <w:num w:numId="6" w16cid:durableId="2008703118">
    <w:abstractNumId w:val="6"/>
  </w:num>
  <w:num w:numId="7" w16cid:durableId="54858821">
    <w:abstractNumId w:val="8"/>
  </w:num>
  <w:num w:numId="8" w16cid:durableId="1096242549">
    <w:abstractNumId w:val="0"/>
  </w:num>
  <w:num w:numId="9" w16cid:durableId="898397968">
    <w:abstractNumId w:val="4"/>
  </w:num>
  <w:num w:numId="10" w16cid:durableId="52513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05CA"/>
    <w:rsid w:val="00013624"/>
    <w:rsid w:val="00016A3E"/>
    <w:rsid w:val="00066912"/>
    <w:rsid w:val="00083334"/>
    <w:rsid w:val="000836CA"/>
    <w:rsid w:val="00091C09"/>
    <w:rsid w:val="000956CF"/>
    <w:rsid w:val="000A683E"/>
    <w:rsid w:val="0011595A"/>
    <w:rsid w:val="001220C5"/>
    <w:rsid w:val="001267F7"/>
    <w:rsid w:val="00127233"/>
    <w:rsid w:val="00127BD4"/>
    <w:rsid w:val="00130999"/>
    <w:rsid w:val="00164D81"/>
    <w:rsid w:val="00165378"/>
    <w:rsid w:val="001A1011"/>
    <w:rsid w:val="001A1BD4"/>
    <w:rsid w:val="001A48D0"/>
    <w:rsid w:val="001D7A6A"/>
    <w:rsid w:val="00212745"/>
    <w:rsid w:val="00213F31"/>
    <w:rsid w:val="0023355F"/>
    <w:rsid w:val="002653C1"/>
    <w:rsid w:val="0026611D"/>
    <w:rsid w:val="002668B2"/>
    <w:rsid w:val="002951A0"/>
    <w:rsid w:val="002A64FD"/>
    <w:rsid w:val="002A6CB0"/>
    <w:rsid w:val="002F0839"/>
    <w:rsid w:val="00301469"/>
    <w:rsid w:val="00304F35"/>
    <w:rsid w:val="00306EE1"/>
    <w:rsid w:val="00310B9B"/>
    <w:rsid w:val="0036461C"/>
    <w:rsid w:val="00367884"/>
    <w:rsid w:val="00372645"/>
    <w:rsid w:val="00382128"/>
    <w:rsid w:val="003846E2"/>
    <w:rsid w:val="00384CC5"/>
    <w:rsid w:val="003900A0"/>
    <w:rsid w:val="003940D9"/>
    <w:rsid w:val="0039439C"/>
    <w:rsid w:val="003B69E7"/>
    <w:rsid w:val="003C013B"/>
    <w:rsid w:val="003C22C0"/>
    <w:rsid w:val="003C7A24"/>
    <w:rsid w:val="003D0F4D"/>
    <w:rsid w:val="003E2FB5"/>
    <w:rsid w:val="003F58A1"/>
    <w:rsid w:val="00410DD6"/>
    <w:rsid w:val="004134C9"/>
    <w:rsid w:val="00427AAB"/>
    <w:rsid w:val="0043138C"/>
    <w:rsid w:val="0043376D"/>
    <w:rsid w:val="00440A99"/>
    <w:rsid w:val="00453CE5"/>
    <w:rsid w:val="00462A59"/>
    <w:rsid w:val="00495E3C"/>
    <w:rsid w:val="004A1847"/>
    <w:rsid w:val="004A3ED5"/>
    <w:rsid w:val="004B34FF"/>
    <w:rsid w:val="004B6B0E"/>
    <w:rsid w:val="004C65F7"/>
    <w:rsid w:val="004D25B3"/>
    <w:rsid w:val="004E6617"/>
    <w:rsid w:val="00511405"/>
    <w:rsid w:val="00526E9D"/>
    <w:rsid w:val="005445B1"/>
    <w:rsid w:val="00547856"/>
    <w:rsid w:val="00547A74"/>
    <w:rsid w:val="005524E6"/>
    <w:rsid w:val="00553963"/>
    <w:rsid w:val="005566E8"/>
    <w:rsid w:val="005746AB"/>
    <w:rsid w:val="0057677C"/>
    <w:rsid w:val="0059357F"/>
    <w:rsid w:val="005A1130"/>
    <w:rsid w:val="005D1F8D"/>
    <w:rsid w:val="005D65C8"/>
    <w:rsid w:val="0061039D"/>
    <w:rsid w:val="006219F8"/>
    <w:rsid w:val="006379A8"/>
    <w:rsid w:val="006515C5"/>
    <w:rsid w:val="00652D38"/>
    <w:rsid w:val="0066592B"/>
    <w:rsid w:val="00681FDB"/>
    <w:rsid w:val="0069675D"/>
    <w:rsid w:val="006A7DAD"/>
    <w:rsid w:val="006D70BA"/>
    <w:rsid w:val="006E636B"/>
    <w:rsid w:val="00704651"/>
    <w:rsid w:val="00722E33"/>
    <w:rsid w:val="0072551B"/>
    <w:rsid w:val="00727EA7"/>
    <w:rsid w:val="00735279"/>
    <w:rsid w:val="007566FE"/>
    <w:rsid w:val="0076726F"/>
    <w:rsid w:val="0077144B"/>
    <w:rsid w:val="00793403"/>
    <w:rsid w:val="0079554A"/>
    <w:rsid w:val="00795A64"/>
    <w:rsid w:val="007C0CDF"/>
    <w:rsid w:val="007C740C"/>
    <w:rsid w:val="007E2A2F"/>
    <w:rsid w:val="007E75E7"/>
    <w:rsid w:val="007F1C7A"/>
    <w:rsid w:val="007F2B7C"/>
    <w:rsid w:val="007F50D5"/>
    <w:rsid w:val="008078AF"/>
    <w:rsid w:val="00811651"/>
    <w:rsid w:val="00820F5B"/>
    <w:rsid w:val="00821744"/>
    <w:rsid w:val="0082614A"/>
    <w:rsid w:val="00833452"/>
    <w:rsid w:val="00846AAC"/>
    <w:rsid w:val="00846B53"/>
    <w:rsid w:val="008614E5"/>
    <w:rsid w:val="008678EB"/>
    <w:rsid w:val="00875894"/>
    <w:rsid w:val="00881C10"/>
    <w:rsid w:val="00890411"/>
    <w:rsid w:val="008A1F2D"/>
    <w:rsid w:val="008C675F"/>
    <w:rsid w:val="008D4C87"/>
    <w:rsid w:val="008D5C70"/>
    <w:rsid w:val="008D7753"/>
    <w:rsid w:val="008E79F2"/>
    <w:rsid w:val="009025AF"/>
    <w:rsid w:val="00904F23"/>
    <w:rsid w:val="00906B3C"/>
    <w:rsid w:val="00923358"/>
    <w:rsid w:val="009346AF"/>
    <w:rsid w:val="00940C54"/>
    <w:rsid w:val="0095342C"/>
    <w:rsid w:val="00970597"/>
    <w:rsid w:val="009A73A9"/>
    <w:rsid w:val="009C361A"/>
    <w:rsid w:val="009C3F65"/>
    <w:rsid w:val="009F33F2"/>
    <w:rsid w:val="009F6C77"/>
    <w:rsid w:val="00A0584B"/>
    <w:rsid w:val="00A07532"/>
    <w:rsid w:val="00A1085C"/>
    <w:rsid w:val="00A309E2"/>
    <w:rsid w:val="00A31B6D"/>
    <w:rsid w:val="00A409DC"/>
    <w:rsid w:val="00A4106A"/>
    <w:rsid w:val="00A6366A"/>
    <w:rsid w:val="00A8066E"/>
    <w:rsid w:val="00A86DD2"/>
    <w:rsid w:val="00AA4B8A"/>
    <w:rsid w:val="00AA6BF7"/>
    <w:rsid w:val="00AB4A41"/>
    <w:rsid w:val="00B01ED6"/>
    <w:rsid w:val="00B06D09"/>
    <w:rsid w:val="00B140BA"/>
    <w:rsid w:val="00B2685D"/>
    <w:rsid w:val="00B771A9"/>
    <w:rsid w:val="00B809BB"/>
    <w:rsid w:val="00B8248A"/>
    <w:rsid w:val="00B85E26"/>
    <w:rsid w:val="00B9410D"/>
    <w:rsid w:val="00BB0C44"/>
    <w:rsid w:val="00BB7726"/>
    <w:rsid w:val="00BC06CC"/>
    <w:rsid w:val="00BC7685"/>
    <w:rsid w:val="00BD0BB4"/>
    <w:rsid w:val="00BF188C"/>
    <w:rsid w:val="00C2329E"/>
    <w:rsid w:val="00C30461"/>
    <w:rsid w:val="00C327E2"/>
    <w:rsid w:val="00C52F4E"/>
    <w:rsid w:val="00C754BE"/>
    <w:rsid w:val="00C87572"/>
    <w:rsid w:val="00C9405D"/>
    <w:rsid w:val="00CB0E30"/>
    <w:rsid w:val="00CC1B26"/>
    <w:rsid w:val="00CD284F"/>
    <w:rsid w:val="00CF23AA"/>
    <w:rsid w:val="00CF30C5"/>
    <w:rsid w:val="00D0014B"/>
    <w:rsid w:val="00D01921"/>
    <w:rsid w:val="00D1247C"/>
    <w:rsid w:val="00D45AC0"/>
    <w:rsid w:val="00D57DE8"/>
    <w:rsid w:val="00D64714"/>
    <w:rsid w:val="00D752B7"/>
    <w:rsid w:val="00D7739B"/>
    <w:rsid w:val="00DA1854"/>
    <w:rsid w:val="00DB0887"/>
    <w:rsid w:val="00DB13E2"/>
    <w:rsid w:val="00DC204C"/>
    <w:rsid w:val="00DF1E18"/>
    <w:rsid w:val="00DF1E43"/>
    <w:rsid w:val="00E10F92"/>
    <w:rsid w:val="00E20894"/>
    <w:rsid w:val="00E2629A"/>
    <w:rsid w:val="00E26B7C"/>
    <w:rsid w:val="00E53218"/>
    <w:rsid w:val="00E96792"/>
    <w:rsid w:val="00EA3003"/>
    <w:rsid w:val="00EB3C91"/>
    <w:rsid w:val="00EB66DA"/>
    <w:rsid w:val="00F14DFC"/>
    <w:rsid w:val="00F248A0"/>
    <w:rsid w:val="00F605F2"/>
    <w:rsid w:val="00F76AFC"/>
    <w:rsid w:val="00F8319B"/>
    <w:rsid w:val="00FA5516"/>
    <w:rsid w:val="00FB0559"/>
    <w:rsid w:val="00FC67A1"/>
    <w:rsid w:val="00FD6F73"/>
    <w:rsid w:val="00FE5775"/>
    <w:rsid w:val="00FF4FF6"/>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paragraph" w:styleId="Ttulo2">
    <w:name w:val="heading 2"/>
    <w:basedOn w:val="Normal"/>
    <w:next w:val="Normal"/>
    <w:link w:val="Ttulo2Car"/>
    <w:uiPriority w:val="9"/>
    <w:unhideWhenUsed/>
    <w:qFormat/>
    <w:rsid w:val="00FE57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customStyle="1" w:styleId="Ttulo2Car">
    <w:name w:val="Título 2 Car"/>
    <w:basedOn w:val="Fuentedeprrafopredeter"/>
    <w:link w:val="Ttulo2"/>
    <w:uiPriority w:val="9"/>
    <w:rsid w:val="00FE5775"/>
    <w:rPr>
      <w:rFonts w:asciiTheme="majorHAnsi" w:eastAsiaTheme="majorEastAsia" w:hAnsiTheme="majorHAnsi" w:cstheme="majorBidi"/>
      <w:color w:val="2F5496" w:themeColor="accent1" w:themeShade="BF"/>
      <w:sz w:val="26"/>
      <w:szCs w:val="26"/>
    </w:rPr>
  </w:style>
  <w:style w:type="paragraph" w:styleId="NormalWeb">
    <w:name w:val="Normal (Web)"/>
    <w:basedOn w:val="Normal"/>
    <w:link w:val="NormalWebCar"/>
    <w:uiPriority w:val="99"/>
    <w:unhideWhenUsed/>
    <w:rsid w:val="00FE5775"/>
    <w:rPr>
      <w:rFonts w:ascii="Times New Roman" w:hAnsi="Times New Roman" w:cs="Times New Roman"/>
      <w:sz w:val="24"/>
      <w:szCs w:val="24"/>
    </w:rPr>
  </w:style>
  <w:style w:type="paragraph" w:customStyle="1" w:styleId="Appelnotedebasde">
    <w:name w:val="Appel note de bas de..."/>
    <w:basedOn w:val="Normal"/>
    <w:link w:val="Refdenotaalpie"/>
    <w:rsid w:val="00FE5775"/>
    <w:pPr>
      <w:spacing w:line="240" w:lineRule="exact"/>
    </w:pPr>
    <w:rPr>
      <w:vertAlign w:val="superscript"/>
    </w:rPr>
  </w:style>
  <w:style w:type="character" w:customStyle="1" w:styleId="InviasNormalCar">
    <w:name w:val="Invias Normal Car"/>
    <w:link w:val="InviasNormal"/>
    <w:locked/>
    <w:rsid w:val="00FE5775"/>
    <w:rPr>
      <w:rFonts w:ascii="Arial Narrow" w:eastAsia="Times New Roman" w:hAnsi="Arial Narrow" w:cs="Times New Roman"/>
      <w:color w:val="3B3838" w:themeColor="background2" w:themeShade="40"/>
      <w:sz w:val="24"/>
      <w:szCs w:val="24"/>
      <w:lang w:val="x-none" w:eastAsia="es-ES"/>
    </w:rPr>
  </w:style>
  <w:style w:type="paragraph" w:customStyle="1" w:styleId="InviasNormal">
    <w:name w:val="Invias Normal"/>
    <w:basedOn w:val="Normal"/>
    <w:link w:val="InviasNormalCar"/>
    <w:qFormat/>
    <w:rsid w:val="00FE5775"/>
    <w:pPr>
      <w:tabs>
        <w:tab w:val="left" w:pos="-142"/>
      </w:tabs>
      <w:autoSpaceDE w:val="0"/>
      <w:autoSpaceDN w:val="0"/>
      <w:adjustRightInd w:val="0"/>
      <w:spacing w:before="120" w:after="240" w:line="240" w:lineRule="auto"/>
      <w:jc w:val="both"/>
    </w:pPr>
    <w:rPr>
      <w:rFonts w:ascii="Arial Narrow" w:eastAsia="Times New Roman" w:hAnsi="Arial Narrow" w:cs="Times New Roman"/>
      <w:color w:val="3B3838" w:themeColor="background2" w:themeShade="40"/>
      <w:sz w:val="24"/>
      <w:szCs w:val="24"/>
      <w:lang w:val="x-none" w:eastAsia="es-ES"/>
    </w:rPr>
  </w:style>
  <w:style w:type="character" w:customStyle="1" w:styleId="baj">
    <w:name w:val="b_aj"/>
    <w:basedOn w:val="Fuentedeprrafopredeter"/>
    <w:rsid w:val="00FE5775"/>
  </w:style>
  <w:style w:type="table" w:customStyle="1" w:styleId="Tablaconcuadrcula1">
    <w:name w:val="Tabla con cuadrícula1"/>
    <w:basedOn w:val="Tablanormal"/>
    <w:next w:val="Tablaconcuadrcula"/>
    <w:uiPriority w:val="59"/>
    <w:rsid w:val="00FE5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
    <w:name w:val="Car1"/>
    <w:basedOn w:val="Normal"/>
    <w:next w:val="Textonotapie"/>
    <w:uiPriority w:val="99"/>
    <w:unhideWhenUsed/>
    <w:qFormat/>
    <w:rsid w:val="00FE5775"/>
    <w:pPr>
      <w:spacing w:after="0" w:line="240" w:lineRule="auto"/>
    </w:pPr>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FE5775"/>
    <w:rPr>
      <w:rFonts w:ascii="Geomanist Light" w:hAnsi="Geomanist Light"/>
      <w:lang w:val="es-ES"/>
    </w:rPr>
  </w:style>
  <w:style w:type="character" w:styleId="Hipervnculo">
    <w:name w:val="Hyperlink"/>
    <w:basedOn w:val="Fuentedeprrafopredeter"/>
    <w:uiPriority w:val="99"/>
    <w:unhideWhenUsed/>
    <w:rsid w:val="00FE5775"/>
    <w:rPr>
      <w:color w:val="0563C1" w:themeColor="hyperlink"/>
      <w:u w:val="single"/>
    </w:rPr>
  </w:style>
  <w:style w:type="character" w:styleId="Mencinsinresolver">
    <w:name w:val="Unresolved Mention"/>
    <w:basedOn w:val="Fuentedeprrafopredeter"/>
    <w:uiPriority w:val="99"/>
    <w:semiHidden/>
    <w:unhideWhenUsed/>
    <w:rsid w:val="00FE5775"/>
    <w:rPr>
      <w:color w:val="605E5C"/>
      <w:shd w:val="clear" w:color="auto" w:fill="E1DFDD"/>
    </w:rPr>
  </w:style>
  <w:style w:type="paragraph" w:styleId="Textoindependiente">
    <w:name w:val="Body Text"/>
    <w:basedOn w:val="Normal"/>
    <w:link w:val="TextoindependienteCar"/>
    <w:uiPriority w:val="1"/>
    <w:unhideWhenUsed/>
    <w:qFormat/>
    <w:rsid w:val="00FE5775"/>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FE5775"/>
    <w:rPr>
      <w:rFonts w:ascii="Arial" w:eastAsia="Arial" w:hAnsi="Arial" w:cs="Arial"/>
      <w:lang w:val="es-ES" w:eastAsia="es-ES" w:bidi="es-ES"/>
    </w:rPr>
  </w:style>
  <w:style w:type="character" w:customStyle="1" w:styleId="NormalWebCar">
    <w:name w:val="Normal (Web) Car"/>
    <w:link w:val="NormalWeb"/>
    <w:uiPriority w:val="99"/>
    <w:rsid w:val="00C52F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42693">
      <w:bodyDiv w:val="1"/>
      <w:marLeft w:val="0"/>
      <w:marRight w:val="0"/>
      <w:marTop w:val="0"/>
      <w:marBottom w:val="0"/>
      <w:divBdr>
        <w:top w:val="none" w:sz="0" w:space="0" w:color="auto"/>
        <w:left w:val="none" w:sz="0" w:space="0" w:color="auto"/>
        <w:bottom w:val="none" w:sz="0" w:space="0" w:color="auto"/>
        <w:right w:val="none" w:sz="0" w:space="0" w:color="auto"/>
      </w:divBdr>
      <w:divsChild>
        <w:div w:id="1785150808">
          <w:marLeft w:val="0"/>
          <w:marRight w:val="0"/>
          <w:marTop w:val="0"/>
          <w:marBottom w:val="0"/>
          <w:divBdr>
            <w:top w:val="none" w:sz="0" w:space="0" w:color="auto"/>
            <w:left w:val="none" w:sz="0" w:space="0" w:color="auto"/>
            <w:bottom w:val="none" w:sz="0" w:space="0" w:color="auto"/>
            <w:right w:val="none" w:sz="0" w:space="0" w:color="auto"/>
          </w:divBdr>
        </w:div>
        <w:div w:id="193327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3" Type="http://schemas.openxmlformats.org/officeDocument/2006/relationships/hyperlink" Target="https://www.colombiacompra.gov.co/content/circular-unica-externa" TargetMode="External"/><Relationship Id="rId2" Type="http://schemas.openxmlformats.org/officeDocument/2006/relationships/hyperlink" Target="https://www.funcionpublica.gov.co/eva/gestornormativo/norma.php?i=25678"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7" ma:contentTypeDescription="Crear nuevo documento." ma:contentTypeScope="" ma:versionID="a34407833354fcfc312bad70d6c3459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b353d508bfaf3d48e66d044e463fff7"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customXml/itemProps3.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4.xml><?xml version="1.0" encoding="utf-8"?>
<ds:datastoreItem xmlns:ds="http://schemas.openxmlformats.org/officeDocument/2006/customXml" ds:itemID="{D8ED55FB-0899-4FEF-859D-BFFF1FF55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12463</Words>
  <Characters>68551</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contratacione en linea</cp:lastModifiedBy>
  <cp:revision>3</cp:revision>
  <dcterms:created xsi:type="dcterms:W3CDTF">2023-08-03T13:19:00Z</dcterms:created>
  <dcterms:modified xsi:type="dcterms:W3CDTF">2023-08-09T12:24:00Z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